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84863" w14:textId="4167FE78" w:rsidR="009263D5" w:rsidRDefault="006526AA" w:rsidP="009263D5">
      <w:pPr>
        <w:spacing w:after="0" w:line="240" w:lineRule="auto"/>
      </w:pPr>
      <w:proofErr w:type="gramStart"/>
      <w:r>
        <w:t>July XX,</w:t>
      </w:r>
      <w:proofErr w:type="gramEnd"/>
      <w:r>
        <w:t xml:space="preserve"> 2025</w:t>
      </w:r>
    </w:p>
    <w:p w14:paraId="685995DB" w14:textId="77777777" w:rsidR="00406B5F" w:rsidRDefault="00406B5F" w:rsidP="009263D5">
      <w:pPr>
        <w:spacing w:after="0" w:line="240" w:lineRule="auto"/>
      </w:pPr>
    </w:p>
    <w:p w14:paraId="34DA525C" w14:textId="2A505F02" w:rsidR="009263D5" w:rsidRDefault="009263D5" w:rsidP="009263D5">
      <w:pPr>
        <w:spacing w:after="0" w:line="240" w:lineRule="auto"/>
      </w:pPr>
      <w:r>
        <w:t xml:space="preserve">The Honorable </w:t>
      </w:r>
      <w:r w:rsidR="004F313E">
        <w:t>Susan Collins</w:t>
      </w:r>
      <w:r>
        <w:t xml:space="preserve"> </w:t>
      </w:r>
      <w:r w:rsidR="00776F10">
        <w:t>(</w:t>
      </w:r>
      <w:r w:rsidR="004F313E">
        <w:t>ME</w:t>
      </w:r>
      <w:proofErr w:type="gramStart"/>
      <w:r w:rsidR="00776F10">
        <w:t>)</w:t>
      </w:r>
      <w:r>
        <w:tab/>
      </w:r>
      <w:r>
        <w:tab/>
        <w:t>The</w:t>
      </w:r>
      <w:proofErr w:type="gramEnd"/>
      <w:r>
        <w:t xml:space="preserve"> Honorable </w:t>
      </w:r>
      <w:r w:rsidR="004F313E">
        <w:t>Patty Murray</w:t>
      </w:r>
      <w:r w:rsidR="00776F10">
        <w:t xml:space="preserve"> (</w:t>
      </w:r>
      <w:r w:rsidR="004F313E">
        <w:t>WA</w:t>
      </w:r>
      <w:r w:rsidR="00776F10">
        <w:t>)</w:t>
      </w:r>
    </w:p>
    <w:p w14:paraId="369666BE" w14:textId="77777777" w:rsidR="009263D5" w:rsidRDefault="009263D5" w:rsidP="009263D5">
      <w:pPr>
        <w:spacing w:after="0" w:line="240" w:lineRule="auto"/>
      </w:pPr>
      <w:r>
        <w:t>Chair</w:t>
      </w:r>
      <w:r>
        <w:tab/>
      </w:r>
      <w:r>
        <w:tab/>
      </w:r>
      <w:r>
        <w:tab/>
      </w:r>
      <w:r>
        <w:tab/>
      </w:r>
      <w:r>
        <w:tab/>
      </w:r>
      <w:r>
        <w:tab/>
        <w:t>Vice-Chair</w:t>
      </w:r>
    </w:p>
    <w:p w14:paraId="42F06043" w14:textId="77777777" w:rsidR="009263D5" w:rsidRDefault="009263D5" w:rsidP="009263D5">
      <w:pPr>
        <w:spacing w:after="0" w:line="240" w:lineRule="auto"/>
      </w:pPr>
      <w:r>
        <w:t>Committee on Appropriations</w:t>
      </w:r>
      <w:r>
        <w:tab/>
      </w:r>
      <w:r>
        <w:tab/>
      </w:r>
      <w:r>
        <w:tab/>
        <w:t>Committee on Appropriations</w:t>
      </w:r>
    </w:p>
    <w:p w14:paraId="1AA9D0FF" w14:textId="77777777" w:rsidR="009263D5" w:rsidRDefault="009263D5" w:rsidP="009263D5">
      <w:pPr>
        <w:spacing w:after="0" w:line="240" w:lineRule="auto"/>
      </w:pPr>
      <w:r>
        <w:t>U.S. Senate</w:t>
      </w:r>
      <w:r>
        <w:tab/>
      </w:r>
      <w:r>
        <w:tab/>
      </w:r>
      <w:r>
        <w:tab/>
      </w:r>
      <w:r>
        <w:tab/>
      </w:r>
      <w:r>
        <w:tab/>
        <w:t>U.S. Senate</w:t>
      </w:r>
    </w:p>
    <w:p w14:paraId="7FC37444" w14:textId="75B3EF54" w:rsidR="009263D5" w:rsidRDefault="009263D5" w:rsidP="009263D5">
      <w:pPr>
        <w:spacing w:after="0" w:line="240" w:lineRule="auto"/>
      </w:pPr>
      <w:r>
        <w:t xml:space="preserve">Washington, DC 20510                                     </w:t>
      </w:r>
      <w:r>
        <w:tab/>
        <w:t>Washington, DC 20510</w:t>
      </w:r>
    </w:p>
    <w:p w14:paraId="0850464C" w14:textId="77777777" w:rsidR="009263D5" w:rsidRDefault="009263D5" w:rsidP="009263D5">
      <w:pPr>
        <w:spacing w:after="0" w:line="240" w:lineRule="auto"/>
      </w:pPr>
    </w:p>
    <w:p w14:paraId="0AA5932D" w14:textId="11642FAD" w:rsidR="009263D5" w:rsidRDefault="009263D5" w:rsidP="009263D5">
      <w:pPr>
        <w:spacing w:after="0" w:line="240" w:lineRule="auto"/>
      </w:pPr>
      <w:r>
        <w:t xml:space="preserve">The Honorable </w:t>
      </w:r>
      <w:r w:rsidR="000020DA">
        <w:t>Tom Cole</w:t>
      </w:r>
      <w:r w:rsidR="00776F10">
        <w:t xml:space="preserve"> (</w:t>
      </w:r>
      <w:r w:rsidR="000020DA">
        <w:t>OK</w:t>
      </w:r>
      <w:r w:rsidR="00776F10">
        <w:t>-</w:t>
      </w:r>
      <w:r w:rsidR="000020DA">
        <w:t>4</w:t>
      </w:r>
      <w:r w:rsidR="00AD06C8">
        <w:t>)</w:t>
      </w:r>
      <w:r w:rsidR="000020DA">
        <w:tab/>
      </w:r>
      <w:r>
        <w:tab/>
      </w:r>
      <w:r>
        <w:tab/>
        <w:t>The Honorable Rosa DeLauro</w:t>
      </w:r>
      <w:r w:rsidR="00AD06C8">
        <w:t xml:space="preserve"> (CT-3)</w:t>
      </w:r>
    </w:p>
    <w:p w14:paraId="0D0BD65B" w14:textId="77777777" w:rsidR="009263D5" w:rsidRDefault="009263D5" w:rsidP="009263D5">
      <w:pPr>
        <w:spacing w:after="0" w:line="240" w:lineRule="auto"/>
      </w:pPr>
      <w:r>
        <w:t xml:space="preserve">Chair </w:t>
      </w:r>
      <w:r>
        <w:tab/>
      </w:r>
      <w:r>
        <w:tab/>
      </w:r>
      <w:r>
        <w:tab/>
      </w:r>
      <w:r>
        <w:tab/>
      </w:r>
      <w:r>
        <w:tab/>
      </w:r>
      <w:r>
        <w:tab/>
        <w:t>Ranking Member</w:t>
      </w:r>
    </w:p>
    <w:p w14:paraId="1A2B0C98" w14:textId="77777777" w:rsidR="009263D5" w:rsidRDefault="009263D5" w:rsidP="009263D5">
      <w:pPr>
        <w:spacing w:after="0" w:line="240" w:lineRule="auto"/>
      </w:pPr>
      <w:r>
        <w:t>Committee on Appropriations</w:t>
      </w:r>
      <w:r>
        <w:tab/>
      </w:r>
      <w:r>
        <w:tab/>
      </w:r>
      <w:r>
        <w:tab/>
        <w:t>Committee on Appropriations</w:t>
      </w:r>
    </w:p>
    <w:p w14:paraId="008EEB27" w14:textId="77777777" w:rsidR="009263D5" w:rsidRDefault="009263D5" w:rsidP="009263D5">
      <w:pPr>
        <w:spacing w:after="0" w:line="240" w:lineRule="auto"/>
      </w:pPr>
      <w:r>
        <w:t xml:space="preserve">U.S. House of Representatives </w:t>
      </w:r>
      <w:r>
        <w:tab/>
      </w:r>
      <w:r>
        <w:tab/>
      </w:r>
      <w:r>
        <w:tab/>
        <w:t>U.S. House of Representatives</w:t>
      </w:r>
    </w:p>
    <w:p w14:paraId="05DFF909" w14:textId="77777777" w:rsidR="009263D5" w:rsidRDefault="009263D5" w:rsidP="009263D5">
      <w:pPr>
        <w:spacing w:after="0" w:line="240" w:lineRule="auto"/>
      </w:pPr>
      <w:r>
        <w:t xml:space="preserve">Washington, DC 20515                                     </w:t>
      </w:r>
      <w:r>
        <w:tab/>
        <w:t>Washington, DC 20515</w:t>
      </w:r>
    </w:p>
    <w:p w14:paraId="7C6174C8" w14:textId="77777777" w:rsidR="009263D5" w:rsidRDefault="009263D5" w:rsidP="009263D5">
      <w:pPr>
        <w:spacing w:after="0" w:line="240" w:lineRule="auto"/>
      </w:pPr>
    </w:p>
    <w:p w14:paraId="41CA0FEE" w14:textId="4D972000" w:rsidR="009263D5" w:rsidRDefault="009263D5" w:rsidP="009263D5">
      <w:pPr>
        <w:spacing w:after="0" w:line="240" w:lineRule="auto"/>
      </w:pPr>
      <w:r>
        <w:t xml:space="preserve">Dear Chair </w:t>
      </w:r>
      <w:r w:rsidR="001E5592">
        <w:t>Collins</w:t>
      </w:r>
      <w:r>
        <w:t xml:space="preserve">, Chair </w:t>
      </w:r>
      <w:r w:rsidR="00EF4CC2">
        <w:t>Cole</w:t>
      </w:r>
      <w:r>
        <w:t xml:space="preserve">, Vice Chair </w:t>
      </w:r>
      <w:r w:rsidR="001E5592">
        <w:t>Murray</w:t>
      </w:r>
      <w:r>
        <w:t>, and Ranking Member DeLauro:</w:t>
      </w:r>
    </w:p>
    <w:p w14:paraId="7FD1EE01" w14:textId="77777777" w:rsidR="009263D5" w:rsidRDefault="009263D5" w:rsidP="009263D5">
      <w:pPr>
        <w:spacing w:after="0" w:line="240" w:lineRule="auto"/>
      </w:pPr>
    </w:p>
    <w:p w14:paraId="33A4A6AF" w14:textId="16B4C0DD" w:rsidR="009263D5" w:rsidRDefault="009263D5" w:rsidP="009263D5">
      <w:pPr>
        <w:spacing w:after="0" w:line="240" w:lineRule="auto"/>
      </w:pPr>
      <w:r>
        <w:t xml:space="preserve">The undersigned epilepsy-related organizations thank you for your past support of research, public health, and health care programs that help increase understanding and treatment of the epilepsies as well as support people with the epilepsies in their day-to-day lives. As you </w:t>
      </w:r>
      <w:r w:rsidR="00D872DF">
        <w:t>work</w:t>
      </w:r>
      <w:r w:rsidR="00EF4CC2">
        <w:t xml:space="preserve"> on</w:t>
      </w:r>
      <w:r w:rsidR="003C5FE4">
        <w:t xml:space="preserve"> the</w:t>
      </w:r>
      <w:r>
        <w:t xml:space="preserve"> FY 202</w:t>
      </w:r>
      <w:r w:rsidR="005465C9">
        <w:t>6</w:t>
      </w:r>
      <w:r>
        <w:t xml:space="preserve"> appropriations bills, we urge you to continue this commitment by providing robust funding as outlined below for programs at the Department of Health and Human Services, Department of Defense, and Department of Veterans Affairs that are vital for the epilepsy community.</w:t>
      </w:r>
    </w:p>
    <w:p w14:paraId="4E9B470A" w14:textId="77777777" w:rsidR="009263D5" w:rsidRDefault="009263D5" w:rsidP="009263D5">
      <w:pPr>
        <w:spacing w:after="0" w:line="240" w:lineRule="auto"/>
      </w:pPr>
    </w:p>
    <w:p w14:paraId="4A7D2C08" w14:textId="4A662F5F" w:rsidR="00EA51C8" w:rsidRDefault="009263D5" w:rsidP="009263D5">
      <w:pPr>
        <w:spacing w:after="0" w:line="240" w:lineRule="auto"/>
      </w:pPr>
      <w:r>
        <w:t xml:space="preserve">For background, there are </w:t>
      </w:r>
      <w:r w:rsidR="00D872DF">
        <w:t xml:space="preserve">nearly </w:t>
      </w:r>
      <w:r>
        <w:t>3</w:t>
      </w:r>
      <w:r w:rsidR="00EA51C8">
        <w:t>.4 m</w:t>
      </w:r>
      <w:r>
        <w:t xml:space="preserve">illion </w:t>
      </w:r>
      <w:r w:rsidR="00EA51C8">
        <w:t>people including</w:t>
      </w:r>
      <w:r>
        <w:t xml:space="preserve"> 4</w:t>
      </w:r>
      <w:r w:rsidR="00D872DF">
        <w:t>56</w:t>
      </w:r>
      <w:r>
        <w:t>,000 children and teenagers living with active epilepsy in the United States.</w:t>
      </w:r>
      <w:r w:rsidR="00EA51C8">
        <w:rPr>
          <w:rStyle w:val="FootnoteReference"/>
        </w:rPr>
        <w:footnoteReference w:id="2"/>
      </w:r>
      <w:r>
        <w:t xml:space="preserve"> There are hundreds of epilepsies, which are disorders of the brain characterized by abnormal nerve cell signaling. This causes seizures, uncontrolled bursts of electrical activities that change sensations, behaviors, awareness, and muscle movements. Epilepsy is a complex spectrum disease that can affect infants, children, young adults, seniors, military service members, Veterans and anyone suffering from traumatic brain injury (TBI). The epilepsies are comprised of an ever-growing number of rare epilepsies. </w:t>
      </w:r>
    </w:p>
    <w:p w14:paraId="41C916CA" w14:textId="77777777" w:rsidR="00EA51C8" w:rsidRDefault="00EA51C8" w:rsidP="009263D5">
      <w:pPr>
        <w:spacing w:after="0" w:line="240" w:lineRule="auto"/>
      </w:pPr>
    </w:p>
    <w:p w14:paraId="36011EB4" w14:textId="6ED643CB" w:rsidR="009263D5" w:rsidRDefault="009263D5" w:rsidP="009263D5">
      <w:pPr>
        <w:spacing w:after="0" w:line="240" w:lineRule="auto"/>
      </w:pPr>
      <w:r>
        <w:t>Due to this vast spectrum, there are many different types of seizures and varying levels of seizure control. Furthermore, the challenges of the epilepsies extend far beyond seizures to include cognitive, behavioral, and psychiatric mood disorders, as well as mobility, gastrointestinal, and respiratory issues.</w:t>
      </w:r>
      <w:r>
        <w:rPr>
          <w:rStyle w:val="FootnoteReference"/>
        </w:rPr>
        <w:footnoteReference w:id="3"/>
      </w:r>
      <w:r>
        <w:t xml:space="preserve">  </w:t>
      </w:r>
      <w:r w:rsidR="003922FE">
        <w:t xml:space="preserve">People with epilepsy have a three times higher risk of early death than the general population, and each year, more than 6,000 people die from causes including </w:t>
      </w:r>
      <w:r w:rsidR="003448CD">
        <w:t>S</w:t>
      </w:r>
      <w:r>
        <w:t>udden Unexpected Death in Epilepsy (SUDEP)</w:t>
      </w:r>
      <w:r w:rsidR="003922FE">
        <w:t>, continuous seizures, and accidents.</w:t>
      </w:r>
      <w:r w:rsidR="000516D2">
        <w:rPr>
          <w:rStyle w:val="FootnoteReference"/>
        </w:rPr>
        <w:footnoteReference w:id="4"/>
      </w:r>
      <w:r w:rsidR="003922FE">
        <w:t xml:space="preserve"> </w:t>
      </w:r>
      <w:r w:rsidR="003448CD">
        <w:t xml:space="preserve"> </w:t>
      </w:r>
      <w:r>
        <w:t xml:space="preserve">Every year, 1 in 1,000 people with epilepsy die from SUDEP and this </w:t>
      </w:r>
      <w:r>
        <w:lastRenderedPageBreak/>
        <w:t>number increases drastically to 1 in 150 for people whose seizures are not</w:t>
      </w:r>
      <w:r w:rsidR="004353E3">
        <w:t xml:space="preserve"> </w:t>
      </w:r>
      <w:r>
        <w:t>controlled by treatment.</w:t>
      </w:r>
      <w:r>
        <w:rPr>
          <w:rStyle w:val="FootnoteReference"/>
        </w:rPr>
        <w:footnoteReference w:id="5"/>
      </w:r>
      <w:r>
        <w:t xml:space="preserve">  </w:t>
      </w:r>
      <w:r w:rsidR="003922FE">
        <w:t>As SUDEP is prevalent in children and young adults, it is second to only stroke as the leading cause of potential years of life lost.</w:t>
      </w:r>
      <w:r w:rsidR="000516D2">
        <w:rPr>
          <w:rStyle w:val="FootnoteReference"/>
        </w:rPr>
        <w:footnoteReference w:id="6"/>
      </w:r>
      <w:r w:rsidR="003922FE">
        <w:t xml:space="preserve"> </w:t>
      </w:r>
      <w:r w:rsidR="000516D2">
        <w:t xml:space="preserve">Mortality rates with epilepsy as an underlying or contributing cause of death are higher in older age groups, among males (than females), </w:t>
      </w:r>
      <w:proofErr w:type="spellStart"/>
      <w:r w:rsidR="000516D2">
        <w:t>amont</w:t>
      </w:r>
      <w:proofErr w:type="spellEnd"/>
      <w:r w:rsidR="000516D2">
        <w:t xml:space="preserve"> non-Hispanic Black or non-Hispanic American Indian/Alaska Native persons (than non-Hispanic White persons), among those living in the West and Midwest of the U.S. (compared with the Northeast), and in non-metro counties (compared to urban regions)</w:t>
      </w:r>
      <w:r>
        <w:t>.</w:t>
      </w:r>
      <w:r>
        <w:rPr>
          <w:rStyle w:val="FootnoteReference"/>
        </w:rPr>
        <w:footnoteReference w:id="7"/>
      </w:r>
      <w:r>
        <w:t xml:space="preserve"> </w:t>
      </w:r>
    </w:p>
    <w:p w14:paraId="6403B196" w14:textId="77777777" w:rsidR="009263D5" w:rsidRDefault="009263D5" w:rsidP="009263D5">
      <w:pPr>
        <w:spacing w:after="0" w:line="240" w:lineRule="auto"/>
      </w:pPr>
    </w:p>
    <w:p w14:paraId="7CC0AB4B" w14:textId="5C123EBF" w:rsidR="009263D5" w:rsidRDefault="009263D5" w:rsidP="009263D5">
      <w:pPr>
        <w:spacing w:after="0" w:line="240" w:lineRule="auto"/>
      </w:pPr>
      <w:r>
        <w:t>Despite major advances in science over the past several decades, the overall impact on the lives of people living with epilepsy remains largely unchanged. Epilepsy and/or seizures impose an annual economic healthcare burden of at least $54 Billion</w:t>
      </w:r>
      <w:r w:rsidR="00930113">
        <w:t xml:space="preserve"> in the U.S</w:t>
      </w:r>
      <w:r>
        <w:t>.</w:t>
      </w:r>
      <w:r>
        <w:rPr>
          <w:rStyle w:val="FootnoteReference"/>
        </w:rPr>
        <w:footnoteReference w:id="8"/>
      </w:r>
      <w:r>
        <w:t xml:space="preserve">  A vast number of people with epilepsy—more than 30% of adults and 20-25% of children—don’t respond to treatment.</w:t>
      </w:r>
      <w:r>
        <w:rPr>
          <w:rStyle w:val="FootnoteReference"/>
        </w:rPr>
        <w:footnoteReference w:id="9"/>
      </w:r>
      <w:r>
        <w:t xml:space="preserve">  This number is much higher for people with rare, genetic epilepsies. Death from SUDEP and other epilepsy-related causes remains a constant risk for people with the epilepsies. There has been no decrease in premature deaths, especially among children with epilepsies. There are no biomarkers for </w:t>
      </w:r>
      <w:proofErr w:type="gramStart"/>
      <w:r>
        <w:t>the vast majority of</w:t>
      </w:r>
      <w:proofErr w:type="gramEnd"/>
      <w:r>
        <w:t xml:space="preserve"> the </w:t>
      </w:r>
      <w:proofErr w:type="gramStart"/>
      <w:r>
        <w:t>epilepsies</w:t>
      </w:r>
      <w:proofErr w:type="gramEnd"/>
      <w:r>
        <w:t xml:space="preserve"> and few effective technologies exist to track real-time data from patients living with epilepsy. Therefore, clinicians are unable to predict which drugs will be effective for a given patient, which side effects a patient is likely to experience when taking a drug, or what a patient’s future might look like. </w:t>
      </w:r>
    </w:p>
    <w:p w14:paraId="06785A5B" w14:textId="77777777" w:rsidR="009263D5" w:rsidRDefault="009263D5" w:rsidP="009263D5">
      <w:pPr>
        <w:spacing w:after="0" w:line="240" w:lineRule="auto"/>
      </w:pPr>
    </w:p>
    <w:p w14:paraId="522EFD25" w14:textId="1D264610" w:rsidR="009263D5" w:rsidRDefault="009263D5" w:rsidP="009263D5">
      <w:pPr>
        <w:spacing w:after="0" w:line="240" w:lineRule="auto"/>
      </w:pPr>
      <w:r>
        <w:t>To continue and expedite progress towards better understanding, treating, and supporting people with the epilepsies, we urge the following investments in the FY 202</w:t>
      </w:r>
      <w:r w:rsidR="00975C9F">
        <w:t>6</w:t>
      </w:r>
      <w:r>
        <w:t xml:space="preserve"> federal budget:</w:t>
      </w:r>
    </w:p>
    <w:p w14:paraId="6FB25519" w14:textId="77777777" w:rsidR="009263D5" w:rsidRDefault="009263D5" w:rsidP="009263D5">
      <w:pPr>
        <w:spacing w:after="0" w:line="240" w:lineRule="auto"/>
      </w:pPr>
    </w:p>
    <w:p w14:paraId="27778610" w14:textId="77777777" w:rsidR="009263D5" w:rsidRPr="009263D5" w:rsidRDefault="009263D5" w:rsidP="009263D5">
      <w:pPr>
        <w:spacing w:after="0" w:line="240" w:lineRule="auto"/>
        <w:rPr>
          <w:b/>
          <w:bCs/>
          <w:sz w:val="24"/>
          <w:szCs w:val="24"/>
          <w:u w:val="single"/>
        </w:rPr>
      </w:pPr>
      <w:r w:rsidRPr="009263D5">
        <w:rPr>
          <w:b/>
          <w:bCs/>
          <w:sz w:val="24"/>
          <w:szCs w:val="24"/>
          <w:u w:val="single"/>
        </w:rPr>
        <w:t>Subcommittee on Labor, Health and Human Services, Education and Related Agencies</w:t>
      </w:r>
    </w:p>
    <w:p w14:paraId="5C362BE3" w14:textId="477A3596" w:rsidR="009263D5" w:rsidRPr="008C1B60" w:rsidRDefault="009263D5" w:rsidP="009263D5">
      <w:pPr>
        <w:pStyle w:val="ListParagraph"/>
        <w:numPr>
          <w:ilvl w:val="0"/>
          <w:numId w:val="1"/>
        </w:numPr>
        <w:spacing w:after="0" w:line="240" w:lineRule="auto"/>
        <w:rPr>
          <w:rFonts w:cstheme="minorHAnsi"/>
          <w:i/>
          <w:iCs/>
        </w:rPr>
      </w:pPr>
      <w:r w:rsidRPr="008C1B60">
        <w:rPr>
          <w:rFonts w:cstheme="minorHAnsi"/>
          <w:b/>
          <w:bCs/>
        </w:rPr>
        <w:t>$</w:t>
      </w:r>
      <w:r w:rsidR="0015376A" w:rsidRPr="008C1B60">
        <w:rPr>
          <w:rFonts w:cstheme="minorHAnsi"/>
          <w:b/>
          <w:bCs/>
        </w:rPr>
        <w:t>1</w:t>
      </w:r>
      <w:r w:rsidR="00704E7C" w:rsidRPr="008C1B60">
        <w:rPr>
          <w:rFonts w:cstheme="minorHAnsi"/>
          <w:b/>
          <w:bCs/>
        </w:rPr>
        <w:t>2</w:t>
      </w:r>
      <w:r w:rsidR="0087364B">
        <w:rPr>
          <w:rFonts w:cstheme="minorHAnsi"/>
          <w:b/>
          <w:bCs/>
        </w:rPr>
        <w:t xml:space="preserve"> </w:t>
      </w:r>
      <w:r w:rsidRPr="008C1B60">
        <w:rPr>
          <w:rFonts w:cstheme="minorHAnsi"/>
          <w:b/>
          <w:bCs/>
        </w:rPr>
        <w:t>Million for the Centers for Disease Control &amp; Prevention (CDC)’s National Center for Chronic Disease Prevention and Health Promotion’s Epilepsy program</w:t>
      </w:r>
      <w:r w:rsidR="000E0977">
        <w:rPr>
          <w:rFonts w:cstheme="minorHAnsi"/>
          <w:b/>
          <w:bCs/>
        </w:rPr>
        <w:t xml:space="preserve">. </w:t>
      </w:r>
      <w:r w:rsidRPr="008C1B60">
        <w:rPr>
          <w:rFonts w:cstheme="minorHAnsi"/>
        </w:rPr>
        <w:t xml:space="preserve">This </w:t>
      </w:r>
      <w:r w:rsidR="00E615F3">
        <w:rPr>
          <w:rFonts w:cstheme="minorHAnsi"/>
        </w:rPr>
        <w:t xml:space="preserve">program provides national </w:t>
      </w:r>
      <w:r w:rsidR="00F0437B">
        <w:rPr>
          <w:rFonts w:cstheme="minorHAnsi"/>
        </w:rPr>
        <w:t>data on epilepsy burden</w:t>
      </w:r>
      <w:r w:rsidR="00E50F55">
        <w:rPr>
          <w:rFonts w:cstheme="minorHAnsi"/>
        </w:rPr>
        <w:t xml:space="preserve"> and prevalence</w:t>
      </w:r>
      <w:r w:rsidR="00F0437B">
        <w:rPr>
          <w:rFonts w:cstheme="minorHAnsi"/>
        </w:rPr>
        <w:t xml:space="preserve">, </w:t>
      </w:r>
      <w:r w:rsidRPr="008C1B60">
        <w:rPr>
          <w:rFonts w:cstheme="minorHAnsi"/>
        </w:rPr>
        <w:t>supports seizure recognition and seizure first aid training for key parts of the community like school personnel</w:t>
      </w:r>
      <w:r w:rsidR="008E42C3">
        <w:rPr>
          <w:rFonts w:cstheme="minorHAnsi"/>
        </w:rPr>
        <w:t xml:space="preserve"> and law enforcement</w:t>
      </w:r>
      <w:r w:rsidRPr="008C1B60">
        <w:rPr>
          <w:rFonts w:cstheme="minorHAnsi"/>
        </w:rPr>
        <w:t xml:space="preserve">; </w:t>
      </w:r>
      <w:r w:rsidR="004706F7">
        <w:rPr>
          <w:rFonts w:cstheme="minorHAnsi"/>
        </w:rPr>
        <w:t xml:space="preserve">and helps </w:t>
      </w:r>
      <w:r w:rsidRPr="008C1B60">
        <w:rPr>
          <w:rFonts w:cstheme="minorHAnsi"/>
        </w:rPr>
        <w:t xml:space="preserve">train primary care and behavioral health providers about epilepsy to improve health outcomes particularly in rural and underserved communities. </w:t>
      </w:r>
      <w:r w:rsidR="003922FE">
        <w:rPr>
          <w:rFonts w:cstheme="minorHAnsi"/>
        </w:rPr>
        <w:t xml:space="preserve">It also funds key epidemiological studies that have profound impact on our understanding of epilepsy mortality and its prevention. </w:t>
      </w:r>
      <w:r w:rsidR="00DC1151">
        <w:rPr>
          <w:rFonts w:cstheme="minorHAnsi"/>
        </w:rPr>
        <w:t xml:space="preserve">As the </w:t>
      </w:r>
      <w:r w:rsidR="00DC1151">
        <w:rPr>
          <w:rFonts w:cstheme="minorHAnsi"/>
          <w:i/>
          <w:iCs/>
        </w:rPr>
        <w:t xml:space="preserve">only </w:t>
      </w:r>
      <w:r w:rsidR="00DC1151">
        <w:rPr>
          <w:rFonts w:cstheme="minorHAnsi"/>
        </w:rPr>
        <w:t xml:space="preserve">public health program specifically related to </w:t>
      </w:r>
      <w:r w:rsidR="007A6499">
        <w:rPr>
          <w:rFonts w:cstheme="minorHAnsi"/>
        </w:rPr>
        <w:t xml:space="preserve">epilepsy with a national scope and community programs that examine, test, and share strategies </w:t>
      </w:r>
      <w:r w:rsidR="00A87092">
        <w:rPr>
          <w:rFonts w:cstheme="minorHAnsi"/>
        </w:rPr>
        <w:t xml:space="preserve">to improve the lives of </w:t>
      </w:r>
      <w:r w:rsidR="00A87092">
        <w:rPr>
          <w:rFonts w:cstheme="minorHAnsi"/>
        </w:rPr>
        <w:lastRenderedPageBreak/>
        <w:t xml:space="preserve">people with epilepsy and their families, it is vital that funding for this program continue. </w:t>
      </w:r>
      <w:r w:rsidRPr="008C1B60">
        <w:rPr>
          <w:rFonts w:cstheme="minorHAnsi"/>
          <w:i/>
          <w:iCs/>
        </w:rPr>
        <w:t>In FY 202</w:t>
      </w:r>
      <w:r w:rsidR="00A87092">
        <w:rPr>
          <w:rFonts w:cstheme="minorHAnsi"/>
          <w:i/>
          <w:iCs/>
        </w:rPr>
        <w:t>5</w:t>
      </w:r>
      <w:r w:rsidRPr="008C1B60">
        <w:rPr>
          <w:rFonts w:cstheme="minorHAnsi"/>
          <w:i/>
          <w:iCs/>
        </w:rPr>
        <w:t xml:space="preserve">, </w:t>
      </w:r>
      <w:r w:rsidR="008C1B60">
        <w:rPr>
          <w:rFonts w:cstheme="minorHAnsi"/>
          <w:i/>
          <w:iCs/>
        </w:rPr>
        <w:t xml:space="preserve">the </w:t>
      </w:r>
      <w:r w:rsidR="00D36E5F" w:rsidRPr="008C1B60">
        <w:rPr>
          <w:rFonts w:cstheme="minorHAnsi"/>
          <w:i/>
          <w:iCs/>
        </w:rPr>
        <w:t>CDC Epilepsy Program was funded at $11.5 Million</w:t>
      </w:r>
      <w:r w:rsidRPr="008C1B60">
        <w:rPr>
          <w:rFonts w:cstheme="minorHAnsi"/>
          <w:i/>
          <w:iCs/>
        </w:rPr>
        <w:t>.</w:t>
      </w:r>
    </w:p>
    <w:p w14:paraId="4845B4D7" w14:textId="77777777" w:rsidR="009263D5" w:rsidRDefault="009263D5" w:rsidP="009263D5">
      <w:pPr>
        <w:pStyle w:val="ListParagraph"/>
        <w:spacing w:after="0" w:line="240" w:lineRule="auto"/>
        <w:rPr>
          <w:rFonts w:cstheme="minorHAnsi"/>
          <w:i/>
          <w:iCs/>
        </w:rPr>
      </w:pPr>
    </w:p>
    <w:p w14:paraId="348A1E90" w14:textId="5BE69ECF" w:rsidR="00C856C0" w:rsidRPr="009170B7" w:rsidRDefault="00C856C0" w:rsidP="00C856C0">
      <w:pPr>
        <w:pStyle w:val="Default"/>
        <w:numPr>
          <w:ilvl w:val="0"/>
          <w:numId w:val="1"/>
        </w:numPr>
        <w:rPr>
          <w:rFonts w:asciiTheme="minorHAnsi" w:hAnsiTheme="minorHAnsi" w:cstheme="minorHAnsi"/>
          <w:i/>
          <w:iCs/>
          <w:color w:val="auto"/>
          <w:sz w:val="22"/>
          <w:szCs w:val="22"/>
        </w:rPr>
      </w:pPr>
      <w:r w:rsidRPr="008C1B60">
        <w:rPr>
          <w:rFonts w:asciiTheme="minorHAnsi" w:hAnsiTheme="minorHAnsi" w:cstheme="minorHAnsi"/>
          <w:b/>
          <w:bCs/>
          <w:sz w:val="22"/>
          <w:szCs w:val="22"/>
        </w:rPr>
        <w:t xml:space="preserve">$1 </w:t>
      </w:r>
      <w:r>
        <w:rPr>
          <w:rFonts w:asciiTheme="minorHAnsi" w:hAnsiTheme="minorHAnsi" w:cstheme="minorHAnsi"/>
          <w:b/>
          <w:bCs/>
          <w:sz w:val="22"/>
          <w:szCs w:val="22"/>
        </w:rPr>
        <w:t>M</w:t>
      </w:r>
      <w:r w:rsidRPr="008C1B60">
        <w:rPr>
          <w:rFonts w:asciiTheme="minorHAnsi" w:hAnsiTheme="minorHAnsi" w:cstheme="minorHAnsi"/>
          <w:b/>
          <w:bCs/>
          <w:sz w:val="22"/>
          <w:szCs w:val="22"/>
        </w:rPr>
        <w:t xml:space="preserve">illion for the National Institutes of Health (NIH) to establish a Pediatric-Onset Epilepsies Network. </w:t>
      </w:r>
      <w:r w:rsidR="005946BF">
        <w:rPr>
          <w:rFonts w:asciiTheme="minorHAnsi" w:hAnsiTheme="minorHAnsi" w:cstheme="minorHAnsi"/>
          <w:sz w:val="22"/>
          <w:szCs w:val="22"/>
        </w:rPr>
        <w:t>Supporting establishment of a National Plan for Epilepsy and c</w:t>
      </w:r>
      <w:r w:rsidRPr="008C1B60">
        <w:rPr>
          <w:rFonts w:asciiTheme="minorHAnsi" w:hAnsiTheme="minorHAnsi" w:cstheme="minorHAnsi"/>
          <w:sz w:val="22"/>
          <w:szCs w:val="22"/>
        </w:rPr>
        <w:t xml:space="preserve">reating an infrastructure to understand the pediatric diagnoses by cause and </w:t>
      </w:r>
      <w:proofErr w:type="gramStart"/>
      <w:r w:rsidRPr="008C1B60">
        <w:rPr>
          <w:rFonts w:asciiTheme="minorHAnsi" w:hAnsiTheme="minorHAnsi" w:cstheme="minorHAnsi"/>
          <w:sz w:val="22"/>
          <w:szCs w:val="22"/>
        </w:rPr>
        <w:t>coordinate</w:t>
      </w:r>
      <w:proofErr w:type="gramEnd"/>
      <w:r w:rsidRPr="008C1B60">
        <w:rPr>
          <w:rFonts w:asciiTheme="minorHAnsi" w:hAnsiTheme="minorHAnsi" w:cstheme="minorHAnsi"/>
          <w:sz w:val="22"/>
          <w:szCs w:val="22"/>
        </w:rPr>
        <w:t xml:space="preserve"> research across institutions is critical to </w:t>
      </w:r>
      <w:proofErr w:type="gramStart"/>
      <w:r w:rsidRPr="008C1B60">
        <w:rPr>
          <w:rFonts w:asciiTheme="minorHAnsi" w:hAnsiTheme="minorHAnsi" w:cstheme="minorHAnsi"/>
          <w:sz w:val="22"/>
          <w:szCs w:val="22"/>
        </w:rPr>
        <w:t>maximize</w:t>
      </w:r>
      <w:proofErr w:type="gramEnd"/>
      <w:r w:rsidRPr="008C1B60">
        <w:rPr>
          <w:rFonts w:asciiTheme="minorHAnsi" w:hAnsiTheme="minorHAnsi" w:cstheme="minorHAnsi"/>
          <w:sz w:val="22"/>
          <w:szCs w:val="22"/>
        </w:rPr>
        <w:t xml:space="preserve"> the potential for scientific progress in the era of precision medicine. This network would create a collaborative, multidisciplinary research model to enroll patients from many hospitals in the same system to enable cooperative research studies, accelerate the development of knowledge about the epilepsies, and rapidly advance therapeutic options and their implementation to improve treatments and healthcare outcomes. </w:t>
      </w:r>
      <w:r w:rsidRPr="008C1B60">
        <w:rPr>
          <w:rFonts w:asciiTheme="minorHAnsi" w:hAnsiTheme="minorHAnsi" w:cstheme="minorHAnsi"/>
          <w:i/>
          <w:iCs/>
          <w:sz w:val="22"/>
          <w:szCs w:val="22"/>
        </w:rPr>
        <w:t>In FY 2024,</w:t>
      </w:r>
      <w:r w:rsidR="00CD06FF">
        <w:rPr>
          <w:rFonts w:asciiTheme="minorHAnsi" w:hAnsiTheme="minorHAnsi" w:cstheme="minorHAnsi"/>
          <w:i/>
          <w:iCs/>
          <w:sz w:val="22"/>
          <w:szCs w:val="22"/>
        </w:rPr>
        <w:t xml:space="preserve"> under the heading of ‘</w:t>
      </w:r>
      <w:r w:rsidR="001C4215" w:rsidRPr="001C4215">
        <w:rPr>
          <w:rFonts w:asciiTheme="minorHAnsi" w:hAnsiTheme="minorHAnsi" w:cstheme="minorHAnsi"/>
          <w:i/>
          <w:iCs/>
          <w:sz w:val="22"/>
          <w:szCs w:val="22"/>
        </w:rPr>
        <w:t>Pediatric-Onset Epilepsies Research</w:t>
      </w:r>
      <w:r w:rsidR="001C4215">
        <w:rPr>
          <w:rFonts w:asciiTheme="minorHAnsi" w:hAnsiTheme="minorHAnsi" w:cstheme="minorHAnsi"/>
          <w:i/>
          <w:iCs/>
          <w:sz w:val="22"/>
          <w:szCs w:val="22"/>
        </w:rPr>
        <w:t>,’</w:t>
      </w:r>
      <w:r w:rsidRPr="008C1B60">
        <w:rPr>
          <w:rFonts w:asciiTheme="minorHAnsi" w:hAnsiTheme="minorHAnsi" w:cstheme="minorHAnsi"/>
          <w:i/>
          <w:iCs/>
          <w:sz w:val="22"/>
          <w:szCs w:val="22"/>
        </w:rPr>
        <w:t xml:space="preserve"> NIH was encouraged to continue to enable cooperative research studies, accelerate the development of knowledge about epilepsies, and rapidly advance therapeutic options and their implementation to improve treatments and healthcare outcomes. </w:t>
      </w:r>
      <w:r w:rsidR="001214E5" w:rsidRPr="009170B7">
        <w:rPr>
          <w:rFonts w:asciiTheme="minorHAnsi" w:hAnsiTheme="minorHAnsi" w:cstheme="minorHAnsi"/>
          <w:i/>
          <w:iCs/>
          <w:color w:val="auto"/>
          <w:sz w:val="22"/>
          <w:szCs w:val="22"/>
        </w:rPr>
        <w:t xml:space="preserve">In FY 2025, NIH was directed to provide a report on key findings and planned actions, however the report was not adopted as part of the FY 2025 Continuing Resolution. </w:t>
      </w:r>
    </w:p>
    <w:p w14:paraId="01805D5B" w14:textId="77777777" w:rsidR="00C856C0" w:rsidRDefault="00C856C0" w:rsidP="009263D5">
      <w:pPr>
        <w:pStyle w:val="ListParagraph"/>
        <w:spacing w:after="0" w:line="240" w:lineRule="auto"/>
        <w:rPr>
          <w:rFonts w:cstheme="minorHAnsi"/>
          <w:i/>
          <w:iCs/>
        </w:rPr>
      </w:pPr>
    </w:p>
    <w:p w14:paraId="3CC27051" w14:textId="62BFEEF2" w:rsidR="00C856C0" w:rsidRPr="008800E1" w:rsidRDefault="00C856C0" w:rsidP="0092445B">
      <w:pPr>
        <w:pStyle w:val="ListParagraph"/>
        <w:numPr>
          <w:ilvl w:val="0"/>
          <w:numId w:val="1"/>
        </w:numPr>
        <w:spacing w:after="0" w:line="240" w:lineRule="auto"/>
        <w:rPr>
          <w:rFonts w:eastAsia="Times New Roman" w:cstheme="minorHAnsi"/>
          <w:color w:val="212529"/>
        </w:rPr>
      </w:pPr>
      <w:r w:rsidRPr="008C1B60">
        <w:rPr>
          <w:rFonts w:cstheme="minorHAnsi"/>
          <w:b/>
          <w:bCs/>
        </w:rPr>
        <w:t>At least $</w:t>
      </w:r>
      <w:r w:rsidR="004D56E5">
        <w:rPr>
          <w:rFonts w:cstheme="minorHAnsi"/>
          <w:b/>
          <w:bCs/>
        </w:rPr>
        <w:t>51.3</w:t>
      </w:r>
      <w:r w:rsidRPr="008C1B60">
        <w:rPr>
          <w:rFonts w:cstheme="minorHAnsi"/>
          <w:b/>
          <w:bCs/>
        </w:rPr>
        <w:t xml:space="preserve"> Billion for the National Institutes of Health (NIH). </w:t>
      </w:r>
      <w:r w:rsidRPr="008C1B60">
        <w:rPr>
          <w:rFonts w:eastAsia="Times New Roman" w:cstheme="minorHAnsi"/>
          <w:color w:val="000000" w:themeColor="text1"/>
        </w:rPr>
        <w:t>Within NIH, several institutes fund epilepsy-related research which has helped better understand, diagnose and treat epilepsy—perhaps most notably, the National Institute of Neurological Disorders and Stroke (NINDS). In FY 2022, the NIH funded about $226 million in epilepsy research</w:t>
      </w:r>
      <w:r>
        <w:rPr>
          <w:rFonts w:eastAsia="Times New Roman" w:cstheme="minorHAnsi"/>
          <w:color w:val="000000" w:themeColor="text1"/>
        </w:rPr>
        <w:t xml:space="preserve">—but the epilepsy community is </w:t>
      </w:r>
      <w:r w:rsidRPr="00DC42CB">
        <w:rPr>
          <w:rFonts w:eastAsia="Times New Roman" w:cstheme="minorHAnsi"/>
          <w:i/>
          <w:iCs/>
          <w:color w:val="000000" w:themeColor="text1"/>
        </w:rPr>
        <w:t>very</w:t>
      </w:r>
      <w:r w:rsidRPr="00DC42CB">
        <w:rPr>
          <w:rFonts w:eastAsia="Times New Roman" w:cstheme="minorHAnsi"/>
          <w:color w:val="000000" w:themeColor="text1"/>
        </w:rPr>
        <w:t xml:space="preserve"> </w:t>
      </w:r>
      <w:r>
        <w:rPr>
          <w:rFonts w:eastAsia="Times New Roman" w:cstheme="minorHAnsi"/>
          <w:color w:val="000000" w:themeColor="text1"/>
        </w:rPr>
        <w:t xml:space="preserve">concerned </w:t>
      </w:r>
      <w:r w:rsidR="00DA0E3A">
        <w:rPr>
          <w:rFonts w:eastAsia="Times New Roman" w:cstheme="minorHAnsi"/>
          <w:color w:val="000000" w:themeColor="text1"/>
        </w:rPr>
        <w:t>with how the</w:t>
      </w:r>
      <w:r>
        <w:rPr>
          <w:rFonts w:eastAsia="Times New Roman" w:cstheme="minorHAnsi"/>
          <w:color w:val="000000" w:themeColor="text1"/>
        </w:rPr>
        <w:t xml:space="preserve"> significant cut</w:t>
      </w:r>
      <w:r w:rsidR="00DA0E3A">
        <w:rPr>
          <w:rFonts w:eastAsia="Times New Roman" w:cstheme="minorHAnsi"/>
          <w:color w:val="000000" w:themeColor="text1"/>
        </w:rPr>
        <w:t>s</w:t>
      </w:r>
      <w:r>
        <w:rPr>
          <w:rFonts w:eastAsia="Times New Roman" w:cstheme="minorHAnsi"/>
          <w:color w:val="000000" w:themeColor="text1"/>
        </w:rPr>
        <w:t xml:space="preserve"> to the NIH’s funding in FY 2024 and </w:t>
      </w:r>
      <w:r w:rsidR="00114B4B">
        <w:rPr>
          <w:rFonts w:eastAsia="Times New Roman" w:cstheme="minorHAnsi"/>
          <w:color w:val="000000" w:themeColor="text1"/>
        </w:rPr>
        <w:t>FY 2025</w:t>
      </w:r>
      <w:r w:rsidR="00DA0E3A">
        <w:rPr>
          <w:rFonts w:eastAsia="Times New Roman" w:cstheme="minorHAnsi"/>
          <w:color w:val="000000" w:themeColor="text1"/>
        </w:rPr>
        <w:t xml:space="preserve"> are starting to impede</w:t>
      </w:r>
      <w:r>
        <w:rPr>
          <w:rFonts w:eastAsia="Times New Roman" w:cstheme="minorHAnsi"/>
          <w:color w:val="000000" w:themeColor="text1"/>
        </w:rPr>
        <w:t xml:space="preserve"> epilepsy research and progress</w:t>
      </w:r>
      <w:r w:rsidRPr="008C1B60">
        <w:rPr>
          <w:rFonts w:eastAsia="Times New Roman" w:cstheme="minorHAnsi"/>
          <w:color w:val="000000" w:themeColor="text1"/>
        </w:rPr>
        <w:t xml:space="preserve">. </w:t>
      </w:r>
      <w:r w:rsidR="0077554D">
        <w:rPr>
          <w:rFonts w:eastAsia="Times New Roman" w:cstheme="minorHAnsi"/>
          <w:color w:val="000000" w:themeColor="text1"/>
        </w:rPr>
        <w:t xml:space="preserve">In FY 2024, the NINDS received a </w:t>
      </w:r>
      <w:r w:rsidR="0077554D" w:rsidRPr="008800E1">
        <w:rPr>
          <w:rFonts w:eastAsia="Times New Roman" w:cstheme="minorHAnsi"/>
          <w:color w:val="000000" w:themeColor="text1"/>
        </w:rPr>
        <w:t xml:space="preserve">4.4% decrease in appropriations </w:t>
      </w:r>
      <w:r w:rsidR="0077554D">
        <w:rPr>
          <w:rFonts w:eastAsia="Times New Roman" w:cstheme="minorHAnsi"/>
          <w:color w:val="000000" w:themeColor="text1"/>
        </w:rPr>
        <w:t>which</w:t>
      </w:r>
      <w:r w:rsidR="0077554D" w:rsidRPr="008800E1">
        <w:rPr>
          <w:rFonts w:eastAsia="Times New Roman" w:cstheme="minorHAnsi"/>
          <w:color w:val="000000" w:themeColor="text1"/>
        </w:rPr>
        <w:t xml:space="preserve"> forced the payline being reduced from the 14th percentile in 2023 to the 11th percentile in 2024. </w:t>
      </w:r>
      <w:r w:rsidRPr="008800E1">
        <w:rPr>
          <w:rFonts w:eastAsia="Times New Roman" w:cstheme="minorHAnsi"/>
          <w:color w:val="000000" w:themeColor="text1"/>
        </w:rPr>
        <w:t xml:space="preserve">There are many critical epilepsy-related initiatives at the NIH including </w:t>
      </w:r>
      <w:r w:rsidRPr="008800E1">
        <w:rPr>
          <w:rFonts w:eastAsia="Times New Roman" w:cstheme="minorHAnsi"/>
          <w:color w:val="212529"/>
        </w:rPr>
        <w:t xml:space="preserve">the Epilepsy Therapy Screening </w:t>
      </w:r>
      <w:proofErr w:type="gramStart"/>
      <w:r w:rsidRPr="008800E1">
        <w:rPr>
          <w:rFonts w:eastAsia="Times New Roman" w:cstheme="minorHAnsi"/>
          <w:color w:val="212529"/>
        </w:rPr>
        <w:t>Program,  Centers</w:t>
      </w:r>
      <w:proofErr w:type="gramEnd"/>
      <w:r w:rsidRPr="008800E1">
        <w:rPr>
          <w:rFonts w:eastAsia="Times New Roman" w:cstheme="minorHAnsi"/>
          <w:color w:val="212529"/>
        </w:rPr>
        <w:t xml:space="preserve"> Without Walls (</w:t>
      </w:r>
      <w:proofErr w:type="spellStart"/>
      <w:r w:rsidRPr="008800E1">
        <w:rPr>
          <w:rFonts w:eastAsia="Times New Roman" w:cstheme="minorHAnsi"/>
          <w:color w:val="212529"/>
        </w:rPr>
        <w:t>CWoW</w:t>
      </w:r>
      <w:proofErr w:type="spellEnd"/>
      <w:r w:rsidRPr="008800E1">
        <w:rPr>
          <w:rFonts w:eastAsia="Times New Roman" w:cstheme="minorHAnsi"/>
          <w:color w:val="212529"/>
        </w:rPr>
        <w:t xml:space="preserve">) for Collaborative Research in the Epilepsies, the </w:t>
      </w:r>
      <w:r w:rsidRPr="008800E1">
        <w:rPr>
          <w:rFonts w:eastAsia="Times New Roman" w:cstheme="minorHAnsi"/>
          <w:color w:val="1B1B1B"/>
        </w:rPr>
        <w:t>Interagency Collaborative to Advance Research in Epilepsy (ICARE), and Curing the Epilepsies</w:t>
      </w:r>
      <w:r w:rsidRPr="008800E1">
        <w:rPr>
          <w:rFonts w:eastAsia="Times New Roman" w:cstheme="minorHAnsi"/>
          <w:color w:val="212529"/>
        </w:rPr>
        <w:t xml:space="preserve">. </w:t>
      </w:r>
      <w:r w:rsidR="0092445B" w:rsidRPr="0092445B">
        <w:rPr>
          <w:rFonts w:eastAsia="Times New Roman" w:cstheme="minorHAnsi"/>
          <w:color w:val="212529"/>
        </w:rPr>
        <w:t xml:space="preserve">We support the continuation of Section 224 of the FY 2024 Appropriations Act in the final appropriations bills since it prohibits changes to NIH Facilities and Administrative cost reimbursements. The proposal to cap and cut indirect costs would have immediate and harmful impacts on research. </w:t>
      </w:r>
      <w:r w:rsidR="0092445B">
        <w:rPr>
          <w:rFonts w:eastAsia="Times New Roman" w:cstheme="minorHAnsi"/>
          <w:color w:val="212529"/>
        </w:rPr>
        <w:t xml:space="preserve">We oppose efforts to restructure the NIH through the appropriations process </w:t>
      </w:r>
      <w:r w:rsidR="0092445B" w:rsidRPr="0092445B">
        <w:rPr>
          <w:rFonts w:eastAsia="Times New Roman" w:cstheme="minorHAnsi"/>
          <w:color w:val="212529"/>
        </w:rPr>
        <w:t xml:space="preserve">because it lacks transparency and does not allow for stakeholder input, data review, and congressional hearings. </w:t>
      </w:r>
      <w:r w:rsidRPr="008800E1">
        <w:rPr>
          <w:rFonts w:eastAsia="Times New Roman" w:cstheme="minorHAnsi"/>
          <w:i/>
          <w:iCs/>
          <w:color w:val="000000" w:themeColor="text1"/>
        </w:rPr>
        <w:t>In FY 202</w:t>
      </w:r>
      <w:r w:rsidR="0075790B" w:rsidRPr="0092445B">
        <w:rPr>
          <w:rFonts w:eastAsia="Times New Roman" w:cstheme="minorHAnsi"/>
          <w:i/>
          <w:iCs/>
          <w:color w:val="000000" w:themeColor="text1"/>
        </w:rPr>
        <w:t>5</w:t>
      </w:r>
      <w:r w:rsidRPr="008800E1">
        <w:rPr>
          <w:rFonts w:eastAsia="Times New Roman" w:cstheme="minorHAnsi"/>
          <w:i/>
          <w:iCs/>
          <w:color w:val="000000" w:themeColor="text1"/>
        </w:rPr>
        <w:t>, the NIH was funded at $</w:t>
      </w:r>
      <w:r w:rsidR="001E121D" w:rsidRPr="0092445B">
        <w:rPr>
          <w:rFonts w:eastAsia="Times New Roman" w:cstheme="minorHAnsi"/>
          <w:i/>
          <w:iCs/>
          <w:color w:val="000000" w:themeColor="text1"/>
        </w:rPr>
        <w:t>48</w:t>
      </w:r>
      <w:r w:rsidRPr="008800E1">
        <w:rPr>
          <w:rFonts w:eastAsia="Times New Roman" w:cstheme="minorHAnsi"/>
          <w:i/>
          <w:iCs/>
          <w:color w:val="000000" w:themeColor="text1"/>
        </w:rPr>
        <w:t xml:space="preserve"> Billion. </w:t>
      </w:r>
    </w:p>
    <w:p w14:paraId="3CA45B85" w14:textId="77777777" w:rsidR="00925A7B" w:rsidRPr="00925A7B" w:rsidRDefault="00925A7B" w:rsidP="00925A7B">
      <w:pPr>
        <w:pStyle w:val="ListParagraph"/>
        <w:spacing w:after="0" w:line="240" w:lineRule="auto"/>
        <w:rPr>
          <w:rFonts w:eastAsia="Times New Roman" w:cstheme="minorHAnsi"/>
          <w:color w:val="000000" w:themeColor="text1"/>
        </w:rPr>
      </w:pPr>
    </w:p>
    <w:p w14:paraId="57426CFA" w14:textId="396752AD" w:rsidR="00925A7B" w:rsidRPr="008800E1" w:rsidRDefault="00BB71FE" w:rsidP="00FA3196">
      <w:pPr>
        <w:pStyle w:val="ListParagraph"/>
        <w:numPr>
          <w:ilvl w:val="0"/>
          <w:numId w:val="1"/>
        </w:numPr>
        <w:spacing w:after="0" w:line="240" w:lineRule="auto"/>
        <w:rPr>
          <w:rFonts w:eastAsia="Times New Roman" w:cstheme="minorHAnsi"/>
          <w:color w:val="212529"/>
        </w:rPr>
      </w:pPr>
      <w:r>
        <w:rPr>
          <w:rFonts w:eastAsia="Times New Roman" w:cstheme="minorHAnsi"/>
          <w:b/>
          <w:bCs/>
          <w:color w:val="000000" w:themeColor="text1"/>
        </w:rPr>
        <w:t xml:space="preserve">At least </w:t>
      </w:r>
      <w:r w:rsidR="00925A7B" w:rsidRPr="008C1B60">
        <w:rPr>
          <w:rFonts w:eastAsia="Times New Roman" w:cstheme="minorHAnsi"/>
          <w:b/>
          <w:bCs/>
          <w:color w:val="000000" w:themeColor="text1"/>
        </w:rPr>
        <w:t>$</w:t>
      </w:r>
      <w:r>
        <w:rPr>
          <w:rFonts w:eastAsia="Times New Roman" w:cstheme="minorHAnsi"/>
          <w:b/>
          <w:bCs/>
          <w:color w:val="000000" w:themeColor="text1"/>
        </w:rPr>
        <w:t>680</w:t>
      </w:r>
      <w:r w:rsidR="00925A7B" w:rsidRPr="008C1B60">
        <w:rPr>
          <w:rFonts w:eastAsia="Times New Roman" w:cstheme="minorHAnsi"/>
          <w:b/>
          <w:bCs/>
          <w:color w:val="000000" w:themeColor="text1"/>
        </w:rPr>
        <w:t xml:space="preserve"> </w:t>
      </w:r>
      <w:r w:rsidR="00925A7B">
        <w:rPr>
          <w:rFonts w:eastAsia="Times New Roman" w:cstheme="minorHAnsi"/>
          <w:b/>
          <w:bCs/>
          <w:color w:val="000000" w:themeColor="text1"/>
        </w:rPr>
        <w:t>M</w:t>
      </w:r>
      <w:r w:rsidR="00925A7B" w:rsidRPr="008C1B60">
        <w:rPr>
          <w:rFonts w:eastAsia="Times New Roman" w:cstheme="minorHAnsi"/>
          <w:b/>
          <w:bCs/>
          <w:color w:val="000000" w:themeColor="text1"/>
        </w:rPr>
        <w:t>illion for the BRAIN Initiative.</w:t>
      </w:r>
      <w:r w:rsidR="00925A7B" w:rsidRPr="008C1B60">
        <w:rPr>
          <w:rFonts w:eastAsia="Times New Roman" w:cstheme="minorHAnsi"/>
          <w:color w:val="000000" w:themeColor="text1"/>
        </w:rPr>
        <w:t xml:space="preserve"> The BRAIN Initiative brings</w:t>
      </w:r>
      <w:r w:rsidR="00925A7B" w:rsidRPr="008C1B60">
        <w:rPr>
          <w:rFonts w:eastAsia="Times New Roman" w:cstheme="minorHAnsi"/>
          <w:color w:val="212529"/>
        </w:rPr>
        <w:t xml:space="preserve"> together federal and non-federal partners with a common goal of accelerating the development of innovative </w:t>
      </w:r>
      <w:proofErr w:type="spellStart"/>
      <w:r w:rsidR="00925A7B" w:rsidRPr="008C1B60">
        <w:rPr>
          <w:rFonts w:eastAsia="Times New Roman" w:cstheme="minorHAnsi"/>
          <w:color w:val="212529"/>
        </w:rPr>
        <w:t>neurotechnologies</w:t>
      </w:r>
      <w:proofErr w:type="spellEnd"/>
      <w:r w:rsidR="00925A7B" w:rsidRPr="008C1B60">
        <w:rPr>
          <w:rFonts w:eastAsia="Times New Roman" w:cstheme="minorHAnsi"/>
          <w:color w:val="212529"/>
        </w:rPr>
        <w:t xml:space="preserve"> and producing a revolutionary new dynamic picture of the brain that shows how individual </w:t>
      </w:r>
      <w:proofErr w:type="gramStart"/>
      <w:r w:rsidR="00925A7B" w:rsidRPr="008C1B60">
        <w:rPr>
          <w:rFonts w:eastAsia="Times New Roman" w:cstheme="minorHAnsi"/>
          <w:color w:val="212529"/>
        </w:rPr>
        <w:t>cells</w:t>
      </w:r>
      <w:proofErr w:type="gramEnd"/>
      <w:r w:rsidR="00925A7B" w:rsidRPr="008C1B60">
        <w:rPr>
          <w:rFonts w:eastAsia="Times New Roman" w:cstheme="minorHAnsi"/>
          <w:color w:val="212529"/>
        </w:rPr>
        <w:t xml:space="preserve"> and complex neural circuits interact in both time and space. Several projects relevant to epilepsy are funded through the BRAIN Initiative that aim to better understand, measure, and monitor how the brain generates neural activity and are working to develop new technologies and devices to measure brain activity, predict seizure onset, and deliver therapeutic stimulation to limit seizure activity. </w:t>
      </w:r>
      <w:r w:rsidR="00FA3196" w:rsidRPr="008800E1">
        <w:rPr>
          <w:rFonts w:eastAsia="Times New Roman" w:cstheme="minorHAnsi"/>
          <w:color w:val="212529"/>
        </w:rPr>
        <w:t xml:space="preserve">For example, in current work supported by the BRAIN Initiative, investigators are using an implantable brain device to treat Lennox- </w:t>
      </w:r>
      <w:proofErr w:type="spellStart"/>
      <w:r w:rsidR="00FA3196" w:rsidRPr="008800E1">
        <w:rPr>
          <w:rFonts w:eastAsia="Times New Roman" w:cstheme="minorHAnsi"/>
          <w:color w:val="212529"/>
        </w:rPr>
        <w:t>Gastaut</w:t>
      </w:r>
      <w:proofErr w:type="spellEnd"/>
      <w:r w:rsidR="00FA3196" w:rsidRPr="008800E1">
        <w:rPr>
          <w:rFonts w:eastAsia="Times New Roman" w:cstheme="minorHAnsi"/>
          <w:color w:val="212529"/>
        </w:rPr>
        <w:t xml:space="preserve"> Syndrome, a devastating form of childhood onset epilepsy characterized by cognitive dysfunction and very frequent generalized onset seizures that often lead to </w:t>
      </w:r>
      <w:proofErr w:type="spellStart"/>
      <w:r w:rsidR="00FA3196" w:rsidRPr="008800E1">
        <w:rPr>
          <w:rFonts w:eastAsia="Times New Roman" w:cstheme="minorHAnsi"/>
          <w:color w:val="212529"/>
        </w:rPr>
        <w:t>injury</w:t>
      </w:r>
      <w:r w:rsidR="00521085">
        <w:rPr>
          <w:rFonts w:eastAsia="Times New Roman" w:cstheme="minorHAnsi"/>
          <w:color w:val="212529"/>
        </w:rPr>
        <w:t>.</w:t>
      </w:r>
      <w:r w:rsidR="00925A7B" w:rsidRPr="008800E1">
        <w:rPr>
          <w:rFonts w:eastAsia="Times New Roman" w:cstheme="minorHAnsi"/>
          <w:i/>
          <w:iCs/>
          <w:color w:val="212529"/>
        </w:rPr>
        <w:t>In</w:t>
      </w:r>
      <w:proofErr w:type="spellEnd"/>
      <w:r w:rsidR="00925A7B" w:rsidRPr="008800E1">
        <w:rPr>
          <w:rFonts w:eastAsia="Times New Roman" w:cstheme="minorHAnsi"/>
          <w:i/>
          <w:iCs/>
          <w:color w:val="212529"/>
        </w:rPr>
        <w:t xml:space="preserve"> FY 202</w:t>
      </w:r>
      <w:r w:rsidR="00D23A0B">
        <w:rPr>
          <w:rFonts w:eastAsia="Times New Roman" w:cstheme="minorHAnsi"/>
          <w:i/>
          <w:iCs/>
          <w:color w:val="212529"/>
        </w:rPr>
        <w:t>5</w:t>
      </w:r>
      <w:r w:rsidR="00925A7B" w:rsidRPr="008800E1">
        <w:rPr>
          <w:rFonts w:eastAsia="Times New Roman" w:cstheme="minorHAnsi"/>
          <w:i/>
          <w:iCs/>
          <w:color w:val="212529"/>
        </w:rPr>
        <w:t>, the BRAIN Initiative was funded at $</w:t>
      </w:r>
      <w:r w:rsidR="00D23A0B">
        <w:rPr>
          <w:rFonts w:eastAsia="Times New Roman" w:cstheme="minorHAnsi"/>
          <w:i/>
          <w:iCs/>
          <w:color w:val="212529"/>
        </w:rPr>
        <w:t>321</w:t>
      </w:r>
      <w:r w:rsidR="00D23A0B" w:rsidRPr="008800E1">
        <w:rPr>
          <w:rFonts w:eastAsia="Times New Roman" w:cstheme="minorHAnsi"/>
          <w:i/>
          <w:iCs/>
          <w:color w:val="212529"/>
        </w:rPr>
        <w:t xml:space="preserve"> </w:t>
      </w:r>
      <w:r w:rsidR="00925A7B" w:rsidRPr="008800E1">
        <w:rPr>
          <w:rFonts w:eastAsia="Times New Roman" w:cstheme="minorHAnsi"/>
          <w:i/>
          <w:iCs/>
          <w:color w:val="212529"/>
        </w:rPr>
        <w:t>Million—</w:t>
      </w:r>
      <w:r w:rsidR="00CC4D5D">
        <w:rPr>
          <w:rFonts w:eastAsia="Times New Roman" w:cstheme="minorHAnsi"/>
          <w:i/>
          <w:iCs/>
          <w:color w:val="212529"/>
        </w:rPr>
        <w:t>$359 Million less than the $680 Million it received in FY 202</w:t>
      </w:r>
      <w:r w:rsidR="00594ABE">
        <w:rPr>
          <w:rFonts w:eastAsia="Times New Roman" w:cstheme="minorHAnsi"/>
          <w:i/>
          <w:iCs/>
          <w:color w:val="212529"/>
        </w:rPr>
        <w:t>3</w:t>
      </w:r>
      <w:r w:rsidR="00925A7B" w:rsidRPr="008800E1">
        <w:rPr>
          <w:rFonts w:eastAsia="Times New Roman" w:cstheme="minorHAnsi"/>
          <w:i/>
          <w:iCs/>
          <w:color w:val="212529"/>
        </w:rPr>
        <w:t>.</w:t>
      </w:r>
    </w:p>
    <w:p w14:paraId="51D6E956" w14:textId="77777777" w:rsidR="00C856C0" w:rsidRPr="008C1B60" w:rsidRDefault="00C856C0" w:rsidP="009263D5">
      <w:pPr>
        <w:pStyle w:val="ListParagraph"/>
        <w:spacing w:after="0" w:line="240" w:lineRule="auto"/>
        <w:rPr>
          <w:rFonts w:cstheme="minorHAnsi"/>
          <w:i/>
          <w:iCs/>
        </w:rPr>
      </w:pPr>
    </w:p>
    <w:p w14:paraId="48D9C0B8" w14:textId="6CFB28A4" w:rsidR="009263D5" w:rsidRDefault="009263D5" w:rsidP="009263D5">
      <w:pPr>
        <w:pStyle w:val="ListParagraph"/>
        <w:numPr>
          <w:ilvl w:val="0"/>
          <w:numId w:val="1"/>
        </w:numPr>
        <w:spacing w:after="0" w:line="240" w:lineRule="auto"/>
        <w:rPr>
          <w:rFonts w:cstheme="minorHAnsi"/>
          <w:i/>
          <w:iCs/>
        </w:rPr>
      </w:pPr>
      <w:r w:rsidRPr="008C1B60">
        <w:rPr>
          <w:rFonts w:cstheme="minorHAnsi"/>
          <w:b/>
          <w:bCs/>
        </w:rPr>
        <w:t>$</w:t>
      </w:r>
      <w:r w:rsidR="00594ABE">
        <w:rPr>
          <w:rFonts w:cstheme="minorHAnsi"/>
          <w:b/>
          <w:bCs/>
        </w:rPr>
        <w:t>164</w:t>
      </w:r>
      <w:r w:rsidRPr="008C1B60">
        <w:rPr>
          <w:rFonts w:cstheme="minorHAnsi"/>
          <w:b/>
          <w:bCs/>
        </w:rPr>
        <w:t xml:space="preserve"> </w:t>
      </w:r>
      <w:r w:rsidR="004E5262">
        <w:rPr>
          <w:rFonts w:cstheme="minorHAnsi"/>
          <w:b/>
          <w:bCs/>
        </w:rPr>
        <w:t>M</w:t>
      </w:r>
      <w:r w:rsidRPr="008C1B60">
        <w:rPr>
          <w:rFonts w:cstheme="minorHAnsi"/>
          <w:b/>
          <w:bCs/>
        </w:rPr>
        <w:t xml:space="preserve">illion for the CDC’s Safe Motherhood and Infant Health Program </w:t>
      </w:r>
      <w:proofErr w:type="gramStart"/>
      <w:r w:rsidRPr="008C1B60">
        <w:rPr>
          <w:rFonts w:cstheme="minorHAnsi"/>
          <w:b/>
          <w:bCs/>
        </w:rPr>
        <w:t>in order to</w:t>
      </w:r>
      <w:proofErr w:type="gramEnd"/>
      <w:r w:rsidRPr="008C1B60">
        <w:rPr>
          <w:rFonts w:cstheme="minorHAnsi"/>
          <w:b/>
          <w:bCs/>
        </w:rPr>
        <w:t xml:space="preserve"> support and help expand the Sudden Unexpected Infant Death (SUID) and Sudden Death in the Young (SDY) Case Registry.</w:t>
      </w:r>
      <w:r w:rsidRPr="008C1B60">
        <w:rPr>
          <w:rFonts w:cstheme="minorHAnsi"/>
        </w:rPr>
        <w:t xml:space="preserve"> </w:t>
      </w:r>
      <w:proofErr w:type="gramStart"/>
      <w:r w:rsidRPr="008C1B60">
        <w:rPr>
          <w:rFonts w:cstheme="minorHAnsi"/>
        </w:rPr>
        <w:t>A joint collaboration</w:t>
      </w:r>
      <w:proofErr w:type="gramEnd"/>
      <w:r w:rsidRPr="008C1B60">
        <w:rPr>
          <w:rFonts w:cstheme="minorHAnsi"/>
        </w:rPr>
        <w:t xml:space="preserve"> of the CDC and National Institutes of Health (NIH), this case registry increases the understanding of the prevalence, causes, and risk factors for various </w:t>
      </w:r>
      <w:proofErr w:type="gramStart"/>
      <w:r w:rsidRPr="008C1B60">
        <w:rPr>
          <w:rFonts w:cstheme="minorHAnsi"/>
        </w:rPr>
        <w:t>infant</w:t>
      </w:r>
      <w:proofErr w:type="gramEnd"/>
      <w:r w:rsidRPr="008C1B60">
        <w:rPr>
          <w:rFonts w:cstheme="minorHAnsi"/>
        </w:rPr>
        <w:t xml:space="preserve">, childhood, and young adult deaths up to age 20 including from SUDEP. </w:t>
      </w:r>
      <w:r w:rsidR="003922FE">
        <w:rPr>
          <w:rFonts w:cstheme="minorHAnsi"/>
        </w:rPr>
        <w:t>Expanded</w:t>
      </w:r>
      <w:r w:rsidR="003922FE" w:rsidRPr="008C1B60">
        <w:rPr>
          <w:rFonts w:cstheme="minorHAnsi"/>
        </w:rPr>
        <w:t xml:space="preserve"> </w:t>
      </w:r>
      <w:r w:rsidRPr="008C1B60">
        <w:rPr>
          <w:rFonts w:cstheme="minorHAnsi"/>
        </w:rPr>
        <w:t xml:space="preserve">investment will enable more states to participate, yielding </w:t>
      </w:r>
      <w:r w:rsidR="003922FE">
        <w:rPr>
          <w:rFonts w:cstheme="minorHAnsi"/>
        </w:rPr>
        <w:t xml:space="preserve">robust </w:t>
      </w:r>
      <w:r w:rsidRPr="008C1B60">
        <w:rPr>
          <w:rFonts w:cstheme="minorHAnsi"/>
        </w:rPr>
        <w:t xml:space="preserve">data </w:t>
      </w:r>
      <w:r w:rsidR="003922FE">
        <w:rPr>
          <w:rFonts w:cstheme="minorHAnsi"/>
        </w:rPr>
        <w:t>essential to</w:t>
      </w:r>
      <w:r w:rsidR="003922FE" w:rsidRPr="008C1B60">
        <w:rPr>
          <w:rFonts w:cstheme="minorHAnsi"/>
        </w:rPr>
        <w:t xml:space="preserve"> </w:t>
      </w:r>
      <w:r w:rsidRPr="008C1B60">
        <w:rPr>
          <w:rFonts w:cstheme="minorHAnsi"/>
        </w:rPr>
        <w:t>understanding</w:t>
      </w:r>
      <w:r w:rsidR="003922FE">
        <w:rPr>
          <w:rFonts w:cstheme="minorHAnsi"/>
        </w:rPr>
        <w:t xml:space="preserve"> the true burden of epilepsy mortality, its risk factors, and how </w:t>
      </w:r>
      <w:r w:rsidRPr="008C1B60">
        <w:rPr>
          <w:rFonts w:cstheme="minorHAnsi"/>
        </w:rPr>
        <w:t xml:space="preserve">to prevent future deaths. </w:t>
      </w:r>
      <w:r w:rsidRPr="008C1B60">
        <w:rPr>
          <w:rFonts w:cstheme="minorHAnsi"/>
          <w:i/>
          <w:iCs/>
        </w:rPr>
        <w:t>In FY 202</w:t>
      </w:r>
      <w:r w:rsidR="00496C5B" w:rsidRPr="008C1B60">
        <w:rPr>
          <w:rFonts w:cstheme="minorHAnsi"/>
          <w:i/>
          <w:iCs/>
        </w:rPr>
        <w:t>4</w:t>
      </w:r>
      <w:r w:rsidRPr="008C1B60">
        <w:rPr>
          <w:rFonts w:cstheme="minorHAnsi"/>
          <w:i/>
          <w:iCs/>
        </w:rPr>
        <w:t xml:space="preserve">, </w:t>
      </w:r>
      <w:r w:rsidR="004E5262">
        <w:rPr>
          <w:rFonts w:cstheme="minorHAnsi"/>
          <w:i/>
          <w:iCs/>
        </w:rPr>
        <w:t xml:space="preserve">the </w:t>
      </w:r>
      <w:r w:rsidR="00496C5B" w:rsidRPr="008C1B60">
        <w:rPr>
          <w:rFonts w:cstheme="minorHAnsi"/>
          <w:i/>
          <w:iCs/>
        </w:rPr>
        <w:t>Safe Motherhood and Infant Health Program</w:t>
      </w:r>
      <w:r w:rsidR="004E5262">
        <w:rPr>
          <w:rFonts w:cstheme="minorHAnsi"/>
          <w:i/>
          <w:iCs/>
        </w:rPr>
        <w:t xml:space="preserve"> was funded at $110.5 Million</w:t>
      </w:r>
      <w:r w:rsidRPr="008C1B60">
        <w:rPr>
          <w:rFonts w:cstheme="minorHAnsi"/>
          <w:i/>
          <w:iCs/>
        </w:rPr>
        <w:t>.</w:t>
      </w:r>
    </w:p>
    <w:p w14:paraId="00C17F89" w14:textId="77777777" w:rsidR="009170B7" w:rsidRPr="009170B7" w:rsidRDefault="009170B7" w:rsidP="009170B7">
      <w:pPr>
        <w:pStyle w:val="ListParagraph"/>
        <w:rPr>
          <w:rFonts w:cstheme="minorHAnsi"/>
          <w:i/>
          <w:iCs/>
        </w:rPr>
      </w:pPr>
    </w:p>
    <w:p w14:paraId="442CABA4" w14:textId="7173993A" w:rsidR="009170B7" w:rsidRPr="009170B7" w:rsidRDefault="009170B7" w:rsidP="009170B7">
      <w:pPr>
        <w:pStyle w:val="ListParagraph"/>
        <w:numPr>
          <w:ilvl w:val="0"/>
          <w:numId w:val="1"/>
        </w:numPr>
        <w:spacing w:after="0" w:line="240" w:lineRule="auto"/>
        <w:rPr>
          <w:rFonts w:cstheme="minorHAnsi"/>
          <w:i/>
          <w:iCs/>
        </w:rPr>
      </w:pPr>
      <w:r w:rsidRPr="008C1B60">
        <w:rPr>
          <w:rFonts w:cstheme="minorHAnsi"/>
          <w:b/>
          <w:bCs/>
        </w:rPr>
        <w:t xml:space="preserve">$5 </w:t>
      </w:r>
      <w:r>
        <w:rPr>
          <w:rFonts w:cstheme="minorHAnsi"/>
          <w:b/>
          <w:bCs/>
        </w:rPr>
        <w:t>M</w:t>
      </w:r>
      <w:r w:rsidRPr="008C1B60">
        <w:rPr>
          <w:rFonts w:cstheme="minorHAnsi"/>
          <w:b/>
          <w:bCs/>
        </w:rPr>
        <w:t>illion for the CDC’s National Neurological Conditions System (NNCSS) demonstration projects plus $5 million to expand the system to the epilepsies</w:t>
      </w:r>
      <w:r w:rsidRPr="008C1B60">
        <w:rPr>
          <w:rFonts w:cstheme="minorHAnsi"/>
        </w:rPr>
        <w:t xml:space="preserve">. </w:t>
      </w:r>
      <w:r>
        <w:rPr>
          <w:rFonts w:cstheme="minorHAnsi"/>
        </w:rPr>
        <w:t>The</w:t>
      </w:r>
      <w:r w:rsidRPr="008C1B60">
        <w:rPr>
          <w:rFonts w:cstheme="minorHAnsi"/>
        </w:rPr>
        <w:t xml:space="preserve"> NNCSS is an integrated system that uses state-of-the-art data sources, tools, and analytic methods to track the epidemiology of neurological conditions to increase understanding and catalyze research into causes, diagnosis, and treatment. Congress authorized the NNCSS in 2016 through the 21st Century Cures Act and funding was first appropriated for the NNCSS in FY 2019. Since then, the CDC has been working on demonstration projects for Multiple Sclerosis and Parkinson’s Disease with the plans of adding other neurological conditions. There is significant need for ongoing and improved data and surveillance related to the epilepsies and the NNCSS could be an integral part of the solution. </w:t>
      </w:r>
      <w:r w:rsidRPr="008C1B60">
        <w:rPr>
          <w:rFonts w:cstheme="minorHAnsi"/>
          <w:i/>
          <w:iCs/>
        </w:rPr>
        <w:t>In FY 202</w:t>
      </w:r>
      <w:r>
        <w:rPr>
          <w:rFonts w:cstheme="minorHAnsi"/>
          <w:i/>
          <w:iCs/>
        </w:rPr>
        <w:t>5</w:t>
      </w:r>
      <w:r w:rsidRPr="008C1B60">
        <w:rPr>
          <w:rFonts w:cstheme="minorHAnsi"/>
          <w:i/>
          <w:iCs/>
        </w:rPr>
        <w:t>, NNCSS was funded at $5 Million</w:t>
      </w:r>
      <w:r w:rsidR="00DA6EC3">
        <w:rPr>
          <w:rFonts w:cstheme="minorHAnsi"/>
          <w:i/>
          <w:iCs/>
        </w:rPr>
        <w:t>.</w:t>
      </w:r>
    </w:p>
    <w:p w14:paraId="2A0645C6" w14:textId="7226CF1A" w:rsidR="009263D5" w:rsidRPr="008C1B60" w:rsidRDefault="009263D5" w:rsidP="009263D5">
      <w:pPr>
        <w:spacing w:after="0" w:line="240" w:lineRule="auto"/>
        <w:rPr>
          <w:rFonts w:cstheme="minorHAnsi"/>
          <w:i/>
          <w:iCs/>
        </w:rPr>
      </w:pPr>
    </w:p>
    <w:p w14:paraId="32600F56" w14:textId="64C33C1E" w:rsidR="009263D5" w:rsidRPr="009263D5" w:rsidRDefault="009263D5" w:rsidP="009263D5">
      <w:pPr>
        <w:spacing w:after="0" w:line="240" w:lineRule="auto"/>
        <w:rPr>
          <w:b/>
          <w:bCs/>
          <w:sz w:val="24"/>
          <w:szCs w:val="24"/>
          <w:u w:val="single"/>
        </w:rPr>
      </w:pPr>
      <w:r w:rsidRPr="009263D5">
        <w:rPr>
          <w:b/>
          <w:bCs/>
          <w:sz w:val="24"/>
          <w:szCs w:val="24"/>
          <w:u w:val="single"/>
        </w:rPr>
        <w:t>Subcommittee on Defense</w:t>
      </w:r>
    </w:p>
    <w:p w14:paraId="24592F06" w14:textId="4FA84CC0" w:rsidR="00525B79" w:rsidRPr="008800E1" w:rsidRDefault="00977EB6" w:rsidP="0067589D">
      <w:pPr>
        <w:spacing w:after="0" w:line="240" w:lineRule="auto"/>
        <w:rPr>
          <w:rFonts w:eastAsia="Times New Roman" w:cstheme="minorHAnsi"/>
        </w:rPr>
      </w:pPr>
      <w:r w:rsidRPr="00977EB6">
        <w:rPr>
          <w:rFonts w:eastAsia="Times New Roman" w:cstheme="minorHAnsi"/>
        </w:rPr>
        <w:t xml:space="preserve">The </w:t>
      </w:r>
      <w:r w:rsidR="006D124D">
        <w:rPr>
          <w:rFonts w:eastAsia="Times New Roman" w:cstheme="minorHAnsi"/>
        </w:rPr>
        <w:t>Congressionally Directed Medical Research Programs (</w:t>
      </w:r>
      <w:r w:rsidRPr="00977EB6">
        <w:rPr>
          <w:rFonts w:eastAsia="Times New Roman" w:cstheme="minorHAnsi"/>
        </w:rPr>
        <w:t>CDMRP</w:t>
      </w:r>
      <w:r w:rsidR="006D124D">
        <w:rPr>
          <w:rFonts w:eastAsia="Times New Roman" w:cstheme="minorHAnsi"/>
        </w:rPr>
        <w:t>)</w:t>
      </w:r>
      <w:r w:rsidRPr="00977EB6">
        <w:rPr>
          <w:rFonts w:eastAsia="Times New Roman" w:cstheme="minorHAnsi"/>
        </w:rPr>
        <w:t xml:space="preserve"> originated in 1992 to investigate new biomedical research approaches for conditions disproportionately affecting military members, veterans, their families, and the public</w:t>
      </w:r>
      <w:r w:rsidR="006D124D">
        <w:rPr>
          <w:rFonts w:eastAsia="Times New Roman" w:cstheme="minorHAnsi"/>
        </w:rPr>
        <w:t xml:space="preserve">. </w:t>
      </w:r>
      <w:r w:rsidR="006D124D" w:rsidRPr="006D124D">
        <w:rPr>
          <w:rFonts w:eastAsia="Times New Roman" w:cstheme="minorHAnsi"/>
        </w:rPr>
        <w:t xml:space="preserve">As part of the FY 25 Continuing Resolution, CDMRP funding was cut by $859 million or 57%. This cut was not </w:t>
      </w:r>
      <w:proofErr w:type="gramStart"/>
      <w:r w:rsidR="006D124D" w:rsidRPr="006D124D">
        <w:rPr>
          <w:rFonts w:eastAsia="Times New Roman" w:cstheme="minorHAnsi"/>
        </w:rPr>
        <w:t>done</w:t>
      </w:r>
      <w:proofErr w:type="gramEnd"/>
      <w:r w:rsidR="006D124D" w:rsidRPr="006D124D">
        <w:rPr>
          <w:rFonts w:eastAsia="Times New Roman" w:cstheme="minorHAnsi"/>
        </w:rPr>
        <w:t xml:space="preserve"> equally across the board, and all three of the epilepsy-related research programs saw their funding </w:t>
      </w:r>
      <w:proofErr w:type="gramStart"/>
      <w:r w:rsidR="006D124D" w:rsidRPr="006D124D">
        <w:rPr>
          <w:rFonts w:eastAsia="Times New Roman" w:cstheme="minorHAnsi"/>
        </w:rPr>
        <w:t>completely eliminated</w:t>
      </w:r>
      <w:proofErr w:type="gramEnd"/>
      <w:r w:rsidR="006D124D" w:rsidRPr="006D124D">
        <w:rPr>
          <w:rFonts w:eastAsia="Times New Roman" w:cstheme="minorHAnsi"/>
        </w:rPr>
        <w:t>. While some conditions are now eligible to compete for peer-reviewed funding, the</w:t>
      </w:r>
      <w:r w:rsidR="006D124D">
        <w:rPr>
          <w:rFonts w:eastAsia="Times New Roman" w:cstheme="minorHAnsi"/>
        </w:rPr>
        <w:t xml:space="preserve"> </w:t>
      </w:r>
      <w:r w:rsidR="006D124D" w:rsidRPr="006D124D">
        <w:rPr>
          <w:rFonts w:eastAsia="Times New Roman" w:cstheme="minorHAnsi"/>
        </w:rPr>
        <w:t>significant funding decrease and lack of funding dedicated to specific conditions will impede our understanding of epilepsy and disrupt the health and readiness of our warfighters.</w:t>
      </w:r>
      <w:r w:rsidR="006D124D">
        <w:rPr>
          <w:rFonts w:eastAsia="Times New Roman" w:cstheme="minorHAnsi"/>
        </w:rPr>
        <w:t xml:space="preserve"> In FY 2026, we ask that funding for the epilepsy-related programs within the CDMRP</w:t>
      </w:r>
      <w:r w:rsidR="00194267">
        <w:rPr>
          <w:rFonts w:eastAsia="Times New Roman" w:cstheme="minorHAnsi"/>
        </w:rPr>
        <w:t xml:space="preserve"> be restored to:</w:t>
      </w:r>
    </w:p>
    <w:p w14:paraId="01BAFFE3" w14:textId="2E1C4F6B" w:rsidR="00750AAF" w:rsidRPr="0067589D" w:rsidRDefault="00C44833" w:rsidP="0067589D">
      <w:pPr>
        <w:pStyle w:val="ListParagraph"/>
        <w:numPr>
          <w:ilvl w:val="0"/>
          <w:numId w:val="6"/>
        </w:numPr>
        <w:spacing w:after="0" w:line="240" w:lineRule="auto"/>
        <w:rPr>
          <w:rFonts w:cstheme="minorHAnsi"/>
        </w:rPr>
      </w:pPr>
      <w:r w:rsidRPr="00750AAF">
        <w:rPr>
          <w:rFonts w:eastAsia="Times New Roman" w:cstheme="minorHAnsi"/>
          <w:b/>
          <w:bCs/>
        </w:rPr>
        <w:t>$12 million for the Epilepsy Research Program (ERP)</w:t>
      </w:r>
      <w:r w:rsidR="0067589D">
        <w:rPr>
          <w:rFonts w:eastAsia="Times New Roman" w:cstheme="minorHAnsi"/>
          <w:b/>
          <w:bCs/>
        </w:rPr>
        <w:t xml:space="preserve">. </w:t>
      </w:r>
      <w:r w:rsidR="0067589D" w:rsidRPr="00750AAF">
        <w:rPr>
          <w:rFonts w:eastAsia="Times New Roman" w:cstheme="minorHAnsi"/>
        </w:rPr>
        <w:t xml:space="preserve">Service members and veterans can acquire epilepsy through a variety of means but </w:t>
      </w:r>
      <w:proofErr w:type="gramStart"/>
      <w:r w:rsidR="0067589D" w:rsidRPr="00750AAF">
        <w:rPr>
          <w:rFonts w:eastAsia="Times New Roman" w:cstheme="minorHAnsi"/>
        </w:rPr>
        <w:t>often times</w:t>
      </w:r>
      <w:proofErr w:type="gramEnd"/>
      <w:r w:rsidR="0067589D" w:rsidRPr="00750AAF">
        <w:rPr>
          <w:rFonts w:eastAsia="Times New Roman" w:cstheme="minorHAnsi"/>
        </w:rPr>
        <w:t xml:space="preserve">, Traumatic Brain Injury (TBI) causes seizures to start </w:t>
      </w:r>
      <w:proofErr w:type="gramStart"/>
      <w:r w:rsidR="0067589D" w:rsidRPr="00750AAF">
        <w:rPr>
          <w:rFonts w:eastAsia="Times New Roman" w:cstheme="minorHAnsi"/>
        </w:rPr>
        <w:t>happening—</w:t>
      </w:r>
      <w:proofErr w:type="gramEnd"/>
      <w:r w:rsidR="0067589D" w:rsidRPr="00750AAF">
        <w:rPr>
          <w:rFonts w:eastAsia="Times New Roman" w:cstheme="minorHAnsi"/>
        </w:rPr>
        <w:t xml:space="preserve">leading to a diagnosis of Post-Traumatic Epilepsy (PTE). The ERP was initiated in 2015 to better understand the genesis and progression of PTE </w:t>
      </w:r>
      <w:proofErr w:type="gramStart"/>
      <w:r w:rsidR="0067589D" w:rsidRPr="00750AAF">
        <w:rPr>
          <w:rFonts w:eastAsia="Times New Roman" w:cstheme="minorHAnsi"/>
        </w:rPr>
        <w:t>in order to</w:t>
      </w:r>
      <w:proofErr w:type="gramEnd"/>
      <w:r w:rsidR="0067589D" w:rsidRPr="00750AAF">
        <w:rPr>
          <w:rFonts w:eastAsia="Times New Roman" w:cstheme="minorHAnsi"/>
        </w:rPr>
        <w:t xml:space="preserve"> better treat and prevent it. Focus areas of the ERP that require robust investment include identifying biomarkers or mechanisms of PTE; epidemiological characterization of PTE following TBI; and longitudinal studies of the evolution of PTE and understanding and improving the quality of life of individuals with PTE, their families, and/or caregivers.</w:t>
      </w:r>
    </w:p>
    <w:p w14:paraId="3AD6EAD0" w14:textId="77777777" w:rsidR="0067589D" w:rsidRPr="00750AAF" w:rsidRDefault="0067589D" w:rsidP="0067589D">
      <w:pPr>
        <w:pStyle w:val="ListParagraph"/>
        <w:spacing w:after="0" w:line="240" w:lineRule="auto"/>
        <w:rPr>
          <w:rFonts w:cstheme="minorHAnsi"/>
        </w:rPr>
      </w:pPr>
    </w:p>
    <w:p w14:paraId="746F2213" w14:textId="2C663304" w:rsidR="0067589D" w:rsidRPr="009945A8" w:rsidRDefault="00DB58BB" w:rsidP="009945A8">
      <w:pPr>
        <w:pStyle w:val="ListParagraph"/>
        <w:numPr>
          <w:ilvl w:val="0"/>
          <w:numId w:val="7"/>
        </w:numPr>
        <w:spacing w:after="0" w:line="240" w:lineRule="auto"/>
        <w:rPr>
          <w:rFonts w:eastAsia="Times New Roman"/>
        </w:rPr>
      </w:pPr>
      <w:r w:rsidRPr="00750AAF">
        <w:rPr>
          <w:rFonts w:eastAsia="Times New Roman" w:cstheme="minorHAnsi"/>
          <w:b/>
          <w:bCs/>
        </w:rPr>
        <w:t>$</w:t>
      </w:r>
      <w:r w:rsidR="00D03847">
        <w:rPr>
          <w:rFonts w:eastAsia="Times New Roman" w:cstheme="minorHAnsi"/>
          <w:b/>
          <w:bCs/>
        </w:rPr>
        <w:t>10</w:t>
      </w:r>
      <w:r w:rsidR="00E55A8C" w:rsidRPr="00750AAF">
        <w:rPr>
          <w:rFonts w:eastAsia="Times New Roman" w:cstheme="minorHAnsi"/>
          <w:b/>
          <w:bCs/>
        </w:rPr>
        <w:t xml:space="preserve"> </w:t>
      </w:r>
      <w:r w:rsidRPr="00750AAF">
        <w:rPr>
          <w:rFonts w:eastAsia="Times New Roman" w:cstheme="minorHAnsi"/>
          <w:b/>
          <w:bCs/>
        </w:rPr>
        <w:t>Million for the Tuberous Sclerosis Complex (TSC) Program</w:t>
      </w:r>
      <w:r w:rsidR="006E2C49">
        <w:rPr>
          <w:rFonts w:eastAsia="Times New Roman" w:cstheme="minorHAnsi"/>
          <w:b/>
          <w:bCs/>
        </w:rPr>
        <w:t>.</w:t>
      </w:r>
      <w:r w:rsidR="009945A8">
        <w:rPr>
          <w:rFonts w:eastAsia="Times New Roman" w:cstheme="minorHAnsi"/>
          <w:b/>
          <w:bCs/>
        </w:rPr>
        <w:t xml:space="preserve"> </w:t>
      </w:r>
      <w:r w:rsidR="009945A8">
        <w:rPr>
          <w:rFonts w:eastAsia="Times New Roman"/>
        </w:rPr>
        <w:t xml:space="preserve">Since FY2002, the TSC Research Program has supported projects that pave the way to treatments for individuals with TSC and related disorders like epilepsy, autism, cancer and diabetes. A hallmark achievement is research that examined the role TSC genes play in cell growth and proliferation – specifically in controlling the mammalian Target of Rapamycin (mTOR) signaling pathway in cells </w:t>
      </w:r>
      <w:proofErr w:type="gramStart"/>
      <w:r w:rsidR="009945A8">
        <w:rPr>
          <w:rFonts w:eastAsia="Times New Roman"/>
        </w:rPr>
        <w:t>–  which</w:t>
      </w:r>
      <w:proofErr w:type="gramEnd"/>
      <w:r w:rsidR="009945A8">
        <w:rPr>
          <w:rFonts w:eastAsia="Times New Roman"/>
        </w:rPr>
        <w:t xml:space="preserve"> rapidly led to clinical trials, resulting in the first FDA-approved drug specifically to treat TSC. Continued funding </w:t>
      </w:r>
      <w:r w:rsidR="009945A8">
        <w:rPr>
          <w:rFonts w:eastAsia="Times New Roman"/>
        </w:rPr>
        <w:lastRenderedPageBreak/>
        <w:t xml:space="preserve">is </w:t>
      </w:r>
      <w:proofErr w:type="gramStart"/>
      <w:r w:rsidR="009945A8">
        <w:rPr>
          <w:rFonts w:eastAsia="Times New Roman"/>
        </w:rPr>
        <w:t>essential  to</w:t>
      </w:r>
      <w:proofErr w:type="gramEnd"/>
      <w:r w:rsidR="009945A8">
        <w:rPr>
          <w:rFonts w:eastAsia="Times New Roman"/>
        </w:rPr>
        <w:t xml:space="preserve"> accelerate the development of new therapeutic agents, understand the biology underlying the wide variation in severity among individuals with TSC, advance gene therapy, identify potential biomarkers that can be applied to newborn screening and develop tools to translate basic scientific discoveries into clinical treatments.</w:t>
      </w:r>
    </w:p>
    <w:p w14:paraId="743B034F" w14:textId="77777777" w:rsidR="0067589D" w:rsidRPr="0067589D" w:rsidRDefault="0067589D" w:rsidP="0067589D">
      <w:pPr>
        <w:spacing w:after="0" w:line="240" w:lineRule="auto"/>
        <w:ind w:left="360"/>
        <w:rPr>
          <w:rFonts w:cstheme="minorHAnsi"/>
        </w:rPr>
      </w:pPr>
    </w:p>
    <w:p w14:paraId="6D296C73" w14:textId="5E9E2695" w:rsidR="0067589D" w:rsidRDefault="00C44833" w:rsidP="0067589D">
      <w:pPr>
        <w:pStyle w:val="ListParagraph"/>
        <w:numPr>
          <w:ilvl w:val="0"/>
          <w:numId w:val="6"/>
        </w:numPr>
        <w:spacing w:after="0" w:line="240" w:lineRule="auto"/>
        <w:rPr>
          <w:rFonts w:cstheme="minorHAnsi"/>
        </w:rPr>
      </w:pPr>
      <w:r w:rsidRPr="00750AAF">
        <w:rPr>
          <w:rFonts w:eastAsia="Times New Roman" w:cstheme="minorHAnsi"/>
          <w:b/>
          <w:bCs/>
        </w:rPr>
        <w:t>$175 million for the Traumatic Brain Injury (TBI) and Psychological Health Research (TBIPHRP) Program.</w:t>
      </w:r>
      <w:r w:rsidRPr="00750AAF">
        <w:rPr>
          <w:rFonts w:eastAsia="Times New Roman" w:cstheme="minorHAnsi"/>
        </w:rPr>
        <w:t xml:space="preserve"> </w:t>
      </w:r>
      <w:r w:rsidRPr="00750AAF">
        <w:rPr>
          <w:rFonts w:cstheme="minorHAnsi"/>
        </w:rPr>
        <w:t xml:space="preserve">The TBIPHRP supports research focused on understanding of risk, protective, and biological factors contributing to an individual’s vulnerability to, response to, and long-term outcomes of psychological health conditions and/or TBI, and factors that influence treatment engagement, follow-up care, and improvement of long-term outcomes for those affected by these conditions. </w:t>
      </w:r>
    </w:p>
    <w:p w14:paraId="6AED80D5" w14:textId="77777777" w:rsidR="006E2C49" w:rsidRDefault="006E2C49" w:rsidP="0067589D">
      <w:pPr>
        <w:spacing w:after="0" w:line="240" w:lineRule="auto"/>
        <w:rPr>
          <w:rFonts w:eastAsia="Times New Roman" w:cstheme="minorHAnsi"/>
          <w:i/>
          <w:iCs/>
        </w:rPr>
      </w:pPr>
    </w:p>
    <w:p w14:paraId="6ABD97ED" w14:textId="77777777" w:rsidR="009263D5" w:rsidRPr="009263D5" w:rsidRDefault="009263D5" w:rsidP="009263D5">
      <w:pPr>
        <w:spacing w:after="0" w:line="240" w:lineRule="auto"/>
        <w:rPr>
          <w:b/>
          <w:bCs/>
          <w:sz w:val="24"/>
          <w:szCs w:val="24"/>
          <w:u w:val="single"/>
        </w:rPr>
      </w:pPr>
      <w:r w:rsidRPr="009263D5">
        <w:rPr>
          <w:b/>
          <w:bCs/>
          <w:sz w:val="24"/>
          <w:szCs w:val="24"/>
          <w:u w:val="single"/>
        </w:rPr>
        <w:t>Subcommittee on Military Construction, Veterans Affairs and Related Agencies</w:t>
      </w:r>
    </w:p>
    <w:p w14:paraId="067A477A" w14:textId="63ECB179" w:rsidR="009263D5" w:rsidRPr="002A0391" w:rsidRDefault="009263D5" w:rsidP="00F627AF">
      <w:pPr>
        <w:pStyle w:val="ListParagraph"/>
        <w:numPr>
          <w:ilvl w:val="0"/>
          <w:numId w:val="2"/>
        </w:numPr>
        <w:spacing w:line="240" w:lineRule="auto"/>
        <w:rPr>
          <w:rFonts w:cstheme="minorHAnsi"/>
        </w:rPr>
      </w:pPr>
      <w:r w:rsidRPr="002A0391">
        <w:rPr>
          <w:rFonts w:cstheme="minorHAnsi"/>
          <w:b/>
          <w:bCs/>
        </w:rPr>
        <w:t>At least $2</w:t>
      </w:r>
      <w:r w:rsidR="00DD542D">
        <w:rPr>
          <w:rFonts w:cstheme="minorHAnsi"/>
          <w:b/>
          <w:bCs/>
        </w:rPr>
        <w:t>9.2</w:t>
      </w:r>
      <w:r w:rsidRPr="002A0391">
        <w:rPr>
          <w:rFonts w:cstheme="minorHAnsi"/>
          <w:b/>
          <w:bCs/>
        </w:rPr>
        <w:t xml:space="preserve"> Million for the VA Epilepsy Centers of Excellence (</w:t>
      </w:r>
      <w:proofErr w:type="spellStart"/>
      <w:r w:rsidRPr="002A0391">
        <w:rPr>
          <w:rFonts w:cstheme="minorHAnsi"/>
          <w:b/>
          <w:bCs/>
        </w:rPr>
        <w:t>ECoE</w:t>
      </w:r>
      <w:proofErr w:type="spellEnd"/>
      <w:r w:rsidRPr="002A0391">
        <w:rPr>
          <w:rFonts w:cstheme="minorHAnsi"/>
          <w:b/>
          <w:bCs/>
        </w:rPr>
        <w:t xml:space="preserve">). </w:t>
      </w:r>
      <w:r w:rsidRPr="002A0391">
        <w:rPr>
          <w:rFonts w:cstheme="minorHAnsi"/>
        </w:rPr>
        <w:t xml:space="preserve">Recognizing the need, Congress passed a law in 2008 directing the Secretary of Veterans Affairs (VA) to establish </w:t>
      </w:r>
      <w:proofErr w:type="spellStart"/>
      <w:r w:rsidRPr="002A0391">
        <w:rPr>
          <w:rFonts w:cstheme="minorHAnsi"/>
        </w:rPr>
        <w:t>ECoE</w:t>
      </w:r>
      <w:proofErr w:type="spellEnd"/>
      <w:r w:rsidRPr="002A0391">
        <w:rPr>
          <w:rFonts w:cstheme="minorHAnsi"/>
        </w:rPr>
        <w:t xml:space="preserve"> within the VA. There are now 4 regions with 19 VA hospitals that provide specialty care and state-of-the-art diagnostic and therapeutic services to our nation’s veterans with epilepsy and seizure disorders. In FY 202</w:t>
      </w:r>
      <w:r w:rsidR="005E0C07">
        <w:rPr>
          <w:rFonts w:cstheme="minorHAnsi"/>
        </w:rPr>
        <w:t>4</w:t>
      </w:r>
      <w:r w:rsidRPr="002A0391">
        <w:rPr>
          <w:rFonts w:cstheme="minorHAnsi"/>
        </w:rPr>
        <w:t xml:space="preserve">, the </w:t>
      </w:r>
      <w:r w:rsidR="00614227">
        <w:rPr>
          <w:rFonts w:cstheme="minorHAnsi"/>
        </w:rPr>
        <w:t xml:space="preserve">Veteran’s Health Administration (VHA) </w:t>
      </w:r>
      <w:r w:rsidRPr="002A0391">
        <w:rPr>
          <w:rFonts w:cstheme="minorHAnsi"/>
        </w:rPr>
        <w:t xml:space="preserve">treated </w:t>
      </w:r>
      <w:r w:rsidR="00614227">
        <w:rPr>
          <w:rFonts w:cstheme="minorHAnsi"/>
        </w:rPr>
        <w:t>90,073</w:t>
      </w:r>
      <w:r w:rsidRPr="002A0391">
        <w:rPr>
          <w:rFonts w:cstheme="minorHAnsi"/>
        </w:rPr>
        <w:t xml:space="preserve"> unique veterans with epilepsy or seizures. To reach the over 404,000 Veterans with definite/probable epilepsy and seizures receiving care in VA, there is an acute need to expand access to specialized epilepsy care. </w:t>
      </w:r>
      <w:r w:rsidR="00D72C19" w:rsidRPr="002A0391">
        <w:rPr>
          <w:rFonts w:cstheme="minorHAnsi"/>
          <w:kern w:val="0"/>
        </w:rPr>
        <w:t xml:space="preserve">With a funding increase in FY 2023, the VA </w:t>
      </w:r>
      <w:proofErr w:type="spellStart"/>
      <w:r w:rsidR="00D72C19" w:rsidRPr="002A0391">
        <w:rPr>
          <w:rFonts w:cstheme="minorHAnsi"/>
          <w:kern w:val="0"/>
        </w:rPr>
        <w:t>ECoEs</w:t>
      </w:r>
      <w:proofErr w:type="spellEnd"/>
      <w:r w:rsidR="00D72C19" w:rsidRPr="002A0391">
        <w:rPr>
          <w:rFonts w:cstheme="minorHAnsi"/>
          <w:kern w:val="0"/>
        </w:rPr>
        <w:t xml:space="preserve"> </w:t>
      </w:r>
      <w:r w:rsidR="003B4170" w:rsidRPr="002A0391">
        <w:rPr>
          <w:rFonts w:cstheme="minorHAnsi"/>
          <w:kern w:val="0"/>
        </w:rPr>
        <w:t>were</w:t>
      </w:r>
      <w:r w:rsidR="00D72C19" w:rsidRPr="002A0391">
        <w:rPr>
          <w:rFonts w:cstheme="minorHAnsi"/>
          <w:kern w:val="0"/>
        </w:rPr>
        <w:t xml:space="preserve"> able to welcome two new sites in Birmingham, Alabama and Chicago, Illinois</w:t>
      </w:r>
      <w:r w:rsidR="009F4B5B" w:rsidRPr="002A0391">
        <w:rPr>
          <w:rFonts w:cstheme="minorHAnsi"/>
        </w:rPr>
        <w:t xml:space="preserve">. </w:t>
      </w:r>
      <w:r w:rsidR="003B4170" w:rsidRPr="002A0391">
        <w:rPr>
          <w:rFonts w:cstheme="minorHAnsi"/>
        </w:rPr>
        <w:t xml:space="preserve">With even more investment, the VA </w:t>
      </w:r>
      <w:proofErr w:type="spellStart"/>
      <w:r w:rsidR="003B4170" w:rsidRPr="002A0391">
        <w:rPr>
          <w:rFonts w:cstheme="minorHAnsi"/>
        </w:rPr>
        <w:t>ECoEs</w:t>
      </w:r>
      <w:proofErr w:type="spellEnd"/>
      <w:r w:rsidR="003B4170" w:rsidRPr="002A0391">
        <w:rPr>
          <w:rFonts w:cstheme="minorHAnsi"/>
        </w:rPr>
        <w:t xml:space="preserve"> could c</w:t>
      </w:r>
      <w:r w:rsidR="009F4B5B" w:rsidRPr="002A0391">
        <w:rPr>
          <w:rFonts w:cstheme="minorHAnsi"/>
        </w:rPr>
        <w:t>ontinue growing the Tele-EEG program, providing remote monitoring and reaching more veterans, particularly those in rural and underserved communities.</w:t>
      </w:r>
      <w:r w:rsidR="002A0391">
        <w:rPr>
          <w:rFonts w:cstheme="minorHAnsi"/>
        </w:rPr>
        <w:t xml:space="preserve"> </w:t>
      </w:r>
      <w:r w:rsidRPr="002A0391">
        <w:rPr>
          <w:rFonts w:cstheme="minorHAnsi"/>
          <w:i/>
          <w:iCs/>
        </w:rPr>
        <w:t xml:space="preserve">In FY </w:t>
      </w:r>
      <w:r w:rsidR="00874D1D" w:rsidRPr="002A0391">
        <w:rPr>
          <w:rFonts w:cstheme="minorHAnsi"/>
          <w:i/>
          <w:iCs/>
        </w:rPr>
        <w:t>202</w:t>
      </w:r>
      <w:r w:rsidR="00247639">
        <w:rPr>
          <w:rFonts w:cstheme="minorHAnsi"/>
          <w:i/>
          <w:iCs/>
        </w:rPr>
        <w:t>5</w:t>
      </w:r>
      <w:r w:rsidRPr="002A0391">
        <w:rPr>
          <w:rFonts w:cstheme="minorHAnsi"/>
          <w:i/>
          <w:iCs/>
        </w:rPr>
        <w:t xml:space="preserve">, the VA </w:t>
      </w:r>
      <w:proofErr w:type="spellStart"/>
      <w:r w:rsidRPr="002A0391">
        <w:rPr>
          <w:rFonts w:cstheme="minorHAnsi"/>
          <w:i/>
          <w:iCs/>
        </w:rPr>
        <w:t>ECoE</w:t>
      </w:r>
      <w:proofErr w:type="spellEnd"/>
      <w:r w:rsidRPr="002A0391">
        <w:rPr>
          <w:rFonts w:cstheme="minorHAnsi"/>
          <w:i/>
          <w:iCs/>
        </w:rPr>
        <w:t xml:space="preserve"> </w:t>
      </w:r>
      <w:r w:rsidR="009B12AD" w:rsidRPr="002A0391">
        <w:rPr>
          <w:rFonts w:cstheme="minorHAnsi"/>
          <w:i/>
          <w:iCs/>
        </w:rPr>
        <w:t>was funded at</w:t>
      </w:r>
      <w:r w:rsidRPr="002A0391">
        <w:rPr>
          <w:rFonts w:cstheme="minorHAnsi"/>
          <w:i/>
          <w:iCs/>
        </w:rPr>
        <w:t xml:space="preserve"> $</w:t>
      </w:r>
      <w:r w:rsidR="00874D1D" w:rsidRPr="002A0391">
        <w:rPr>
          <w:rFonts w:cstheme="minorHAnsi"/>
          <w:i/>
          <w:iCs/>
        </w:rPr>
        <w:t>2</w:t>
      </w:r>
      <w:r w:rsidR="00247639">
        <w:rPr>
          <w:rFonts w:cstheme="minorHAnsi"/>
          <w:i/>
          <w:iCs/>
        </w:rPr>
        <w:t>6.8</w:t>
      </w:r>
      <w:r w:rsidRPr="002A0391">
        <w:rPr>
          <w:rFonts w:cstheme="minorHAnsi"/>
          <w:i/>
          <w:iCs/>
        </w:rPr>
        <w:t xml:space="preserve"> Million.</w:t>
      </w:r>
    </w:p>
    <w:p w14:paraId="1C14C7C6" w14:textId="77777777" w:rsidR="009263D5" w:rsidRDefault="009263D5" w:rsidP="009263D5">
      <w:pPr>
        <w:spacing w:after="0" w:line="240" w:lineRule="auto"/>
      </w:pPr>
    </w:p>
    <w:p w14:paraId="6440B019" w14:textId="736AFF79" w:rsidR="009263D5" w:rsidRDefault="002A0391" w:rsidP="009263D5">
      <w:pPr>
        <w:spacing w:after="0" w:line="240" w:lineRule="auto"/>
      </w:pPr>
      <w:r>
        <w:t>T</w:t>
      </w:r>
      <w:r w:rsidR="009263D5">
        <w:t xml:space="preserve">hank you for the opportunity to provide input on research and programs that are critical to the epilepsy community and effective, cost-efficient use of federal spending as Congress </w:t>
      </w:r>
      <w:r>
        <w:t>work</w:t>
      </w:r>
      <w:r w:rsidR="00165CBD">
        <w:t>s</w:t>
      </w:r>
      <w:r>
        <w:t xml:space="preserve"> on</w:t>
      </w:r>
      <w:r w:rsidR="009263D5">
        <w:t xml:space="preserve"> the FY 202</w:t>
      </w:r>
      <w:r w:rsidR="00165CBD">
        <w:t>6</w:t>
      </w:r>
      <w:r w:rsidR="009263D5">
        <w:t xml:space="preserve"> budget. For additional information or if you have any questions, please contact Laura Weidner at </w:t>
      </w:r>
      <w:hyperlink r:id="rId11" w:history="1">
        <w:r w:rsidR="00243740" w:rsidRPr="00E818E3">
          <w:rPr>
            <w:rStyle w:val="Hyperlink"/>
          </w:rPr>
          <w:t>lweidner@efa.org</w:t>
        </w:r>
      </w:hyperlink>
      <w:r w:rsidR="00243740">
        <w:t xml:space="preserve"> </w:t>
      </w:r>
      <w:r w:rsidR="009263D5">
        <w:t xml:space="preserve">or </w:t>
      </w:r>
      <w:r w:rsidR="00874D1D">
        <w:t>Katie Collins</w:t>
      </w:r>
      <w:r w:rsidR="009263D5">
        <w:t xml:space="preserve"> at </w:t>
      </w:r>
      <w:hyperlink r:id="rId12" w:history="1">
        <w:r w:rsidR="00874D1D" w:rsidRPr="00315397">
          <w:rPr>
            <w:rStyle w:val="Hyperlink"/>
          </w:rPr>
          <w:t>kcollins@G2Gconsulting.com</w:t>
        </w:r>
      </w:hyperlink>
      <w:r w:rsidR="00243740">
        <w:t>,</w:t>
      </w:r>
      <w:r w:rsidR="009263D5">
        <w:t xml:space="preserve"> or any of our community members.</w:t>
      </w:r>
    </w:p>
    <w:p w14:paraId="20B09FA0" w14:textId="77777777" w:rsidR="009263D5" w:rsidRDefault="009263D5" w:rsidP="009263D5">
      <w:pPr>
        <w:spacing w:after="0" w:line="240" w:lineRule="auto"/>
      </w:pPr>
    </w:p>
    <w:p w14:paraId="4C89D94C" w14:textId="469360A2" w:rsidR="00C4779C" w:rsidRDefault="00C4779C" w:rsidP="009263D5">
      <w:pPr>
        <w:spacing w:after="0" w:line="240" w:lineRule="auto"/>
        <w:rPr>
          <w:b/>
          <w:bCs/>
        </w:rPr>
      </w:pPr>
      <w:r w:rsidRPr="00C43690">
        <w:rPr>
          <w:b/>
          <w:bCs/>
          <w:highlight w:val="yellow"/>
        </w:rPr>
        <w:t>The organizations listed below signed on to a similar letter in November 2024</w:t>
      </w:r>
      <w:r w:rsidR="00B11213">
        <w:rPr>
          <w:b/>
          <w:bCs/>
          <w:highlight w:val="yellow"/>
        </w:rPr>
        <w:t xml:space="preserve"> for the FY 2025 spending bill</w:t>
      </w:r>
      <w:r w:rsidR="00A3253C" w:rsidRPr="00C43690">
        <w:rPr>
          <w:b/>
          <w:bCs/>
          <w:highlight w:val="yellow"/>
        </w:rPr>
        <w:t xml:space="preserve">. </w:t>
      </w:r>
      <w:r w:rsidR="003A28BB">
        <w:rPr>
          <w:b/>
          <w:bCs/>
          <w:highlight w:val="yellow"/>
        </w:rPr>
        <w:t xml:space="preserve">Since then, we have </w:t>
      </w:r>
      <w:r w:rsidR="00441122">
        <w:rPr>
          <w:b/>
          <w:bCs/>
          <w:highlight w:val="yellow"/>
        </w:rPr>
        <w:t xml:space="preserve">minorly adjusted the letter for FY 2026; for instance, we </w:t>
      </w:r>
      <w:r w:rsidR="003A28BB">
        <w:rPr>
          <w:b/>
          <w:bCs/>
          <w:highlight w:val="yellow"/>
        </w:rPr>
        <w:t xml:space="preserve">adjusted the request amounts in some instances, added some citations and added some clarifying language. </w:t>
      </w:r>
      <w:r w:rsidR="00A3253C" w:rsidRPr="00C43690">
        <w:rPr>
          <w:b/>
          <w:bCs/>
          <w:highlight w:val="yellow"/>
        </w:rPr>
        <w:t xml:space="preserve">If your organization is listed below and wants to remain </w:t>
      </w:r>
      <w:proofErr w:type="gramStart"/>
      <w:r w:rsidR="00A3253C" w:rsidRPr="00C43690">
        <w:rPr>
          <w:b/>
          <w:bCs/>
          <w:highlight w:val="yellow"/>
        </w:rPr>
        <w:t>on</w:t>
      </w:r>
      <w:proofErr w:type="gramEnd"/>
      <w:r w:rsidR="00A3253C" w:rsidRPr="00C43690">
        <w:rPr>
          <w:b/>
          <w:bCs/>
          <w:highlight w:val="yellow"/>
        </w:rPr>
        <w:t xml:space="preserve"> the letter, you </w:t>
      </w:r>
      <w:r w:rsidR="00C43690" w:rsidRPr="00C43690">
        <w:rPr>
          <w:b/>
          <w:bCs/>
          <w:highlight w:val="yellow"/>
          <w:u w:val="single"/>
        </w:rPr>
        <w:t xml:space="preserve">do not need to do </w:t>
      </w:r>
      <w:proofErr w:type="gramStart"/>
      <w:r w:rsidR="00C43690" w:rsidRPr="00C43690">
        <w:rPr>
          <w:b/>
          <w:bCs/>
          <w:highlight w:val="yellow"/>
          <w:u w:val="single"/>
        </w:rPr>
        <w:t>anything</w:t>
      </w:r>
      <w:proofErr w:type="gramEnd"/>
      <w:r w:rsidR="00A3253C" w:rsidRPr="00C43690">
        <w:rPr>
          <w:b/>
          <w:bCs/>
          <w:highlight w:val="yellow"/>
        </w:rPr>
        <w:t xml:space="preserve"> and we will keep your organization listed. If your organization is listed below and you want your organization </w:t>
      </w:r>
      <w:r w:rsidR="00A3253C" w:rsidRPr="00C43690">
        <w:rPr>
          <w:b/>
          <w:bCs/>
          <w:highlight w:val="yellow"/>
          <w:u w:val="single"/>
        </w:rPr>
        <w:t>REMOVED</w:t>
      </w:r>
      <w:r w:rsidR="00A3253C" w:rsidRPr="00C43690">
        <w:rPr>
          <w:b/>
          <w:bCs/>
          <w:highlight w:val="yellow"/>
        </w:rPr>
        <w:t xml:space="preserve"> for any reason(s), </w:t>
      </w:r>
      <w:r w:rsidR="00D54C38" w:rsidRPr="00C43690">
        <w:rPr>
          <w:b/>
          <w:bCs/>
          <w:highlight w:val="yellow"/>
        </w:rPr>
        <w:t xml:space="preserve">email Roxanne at </w:t>
      </w:r>
      <w:hyperlink r:id="rId13" w:history="1">
        <w:r w:rsidR="00D54C38" w:rsidRPr="00C43690">
          <w:rPr>
            <w:rStyle w:val="Hyperlink"/>
            <w:b/>
            <w:bCs/>
            <w:highlight w:val="yellow"/>
          </w:rPr>
          <w:t>ryaghoubi@efa.org</w:t>
        </w:r>
      </w:hyperlink>
      <w:r w:rsidR="003A28BB">
        <w:rPr>
          <w:b/>
          <w:bCs/>
          <w:highlight w:val="yellow"/>
        </w:rPr>
        <w:t xml:space="preserve"> and she will remove you</w:t>
      </w:r>
      <w:r w:rsidR="00D54C38" w:rsidRPr="00C43690">
        <w:rPr>
          <w:b/>
          <w:bCs/>
          <w:highlight w:val="yellow"/>
        </w:rPr>
        <w:t xml:space="preserve">. If you want to </w:t>
      </w:r>
      <w:r w:rsidR="00D54C38" w:rsidRPr="00C43690">
        <w:rPr>
          <w:b/>
          <w:bCs/>
          <w:highlight w:val="yellow"/>
          <w:u w:val="single"/>
        </w:rPr>
        <w:t>NEWLY SIGN YOUR ORGANIZATION ON</w:t>
      </w:r>
      <w:r w:rsidR="00D54C38" w:rsidRPr="00C43690">
        <w:rPr>
          <w:b/>
          <w:bCs/>
          <w:highlight w:val="yellow"/>
        </w:rPr>
        <w:t>, please complete this form [ENTER LINK].</w:t>
      </w:r>
    </w:p>
    <w:p w14:paraId="759144E7" w14:textId="77777777" w:rsidR="00D54C38" w:rsidRPr="00C4779C" w:rsidRDefault="00D54C38" w:rsidP="009263D5">
      <w:pPr>
        <w:spacing w:after="0" w:line="240" w:lineRule="auto"/>
        <w:rPr>
          <w:b/>
          <w:bCs/>
        </w:rPr>
      </w:pPr>
    </w:p>
    <w:p w14:paraId="32E89039" w14:textId="77777777" w:rsidR="009263D5" w:rsidRDefault="009263D5" w:rsidP="008E5111">
      <w:pPr>
        <w:spacing w:after="0" w:line="240" w:lineRule="auto"/>
        <w:rPr>
          <w:rFonts w:cstheme="minorHAnsi"/>
        </w:rPr>
      </w:pPr>
      <w:r w:rsidRPr="008E5111">
        <w:rPr>
          <w:rFonts w:cstheme="minorHAnsi"/>
        </w:rPr>
        <w:t>Sincerely,</w:t>
      </w:r>
    </w:p>
    <w:p w14:paraId="63B041DA" w14:textId="77777777" w:rsidR="00FD2DC7" w:rsidRPr="00CC27D4" w:rsidRDefault="00FD2DC7" w:rsidP="008E5111">
      <w:pPr>
        <w:spacing w:after="0" w:line="240" w:lineRule="auto"/>
        <w:rPr>
          <w:rFonts w:cstheme="minorHAnsi"/>
        </w:rPr>
      </w:pPr>
    </w:p>
    <w:p w14:paraId="7591AC3D" w14:textId="77777777" w:rsidR="00CC27D4" w:rsidRDefault="00CC27D4" w:rsidP="00CC27D4">
      <w:pPr>
        <w:spacing w:after="0" w:line="240" w:lineRule="auto"/>
        <w:rPr>
          <w:rFonts w:cstheme="minorHAnsi"/>
        </w:rPr>
      </w:pPr>
      <w:r w:rsidRPr="00CC27D4">
        <w:rPr>
          <w:rFonts w:cstheme="minorHAnsi"/>
        </w:rPr>
        <w:t>Alliance to Cure Cavernous Malformation</w:t>
      </w:r>
    </w:p>
    <w:p w14:paraId="6D650C33" w14:textId="6940CB84" w:rsidR="008121B6" w:rsidRPr="00CC27D4" w:rsidRDefault="008121B6" w:rsidP="00CC27D4">
      <w:pPr>
        <w:spacing w:after="0" w:line="240" w:lineRule="auto"/>
        <w:rPr>
          <w:rFonts w:cstheme="minorHAnsi"/>
        </w:rPr>
      </w:pPr>
      <w:r w:rsidRPr="008121B6">
        <w:rPr>
          <w:rFonts w:cstheme="minorHAnsi"/>
        </w:rPr>
        <w:t>American Clinical Neurophysiology Society</w:t>
      </w:r>
    </w:p>
    <w:p w14:paraId="70899203" w14:textId="77777777" w:rsidR="00CC27D4" w:rsidRPr="00CC27D4" w:rsidRDefault="00CC27D4" w:rsidP="00CC27D4">
      <w:pPr>
        <w:spacing w:after="0" w:line="240" w:lineRule="auto"/>
        <w:rPr>
          <w:rFonts w:cstheme="minorHAnsi"/>
          <w:strike/>
        </w:rPr>
      </w:pPr>
      <w:r w:rsidRPr="00CC27D4">
        <w:rPr>
          <w:rFonts w:cstheme="minorHAnsi"/>
          <w:shd w:val="clear" w:color="auto" w:fill="FFFFFF"/>
        </w:rPr>
        <w:t>ASXL Rare Research Endowment Foundation</w:t>
      </w:r>
    </w:p>
    <w:p w14:paraId="68B36A42" w14:textId="77777777" w:rsidR="00CC27D4" w:rsidRPr="00CC27D4" w:rsidRDefault="00CC27D4" w:rsidP="00CC27D4">
      <w:pPr>
        <w:spacing w:after="0" w:line="240" w:lineRule="auto"/>
        <w:rPr>
          <w:rFonts w:cstheme="minorHAnsi"/>
        </w:rPr>
      </w:pPr>
      <w:r w:rsidRPr="00CC27D4">
        <w:rPr>
          <w:rFonts w:cstheme="minorHAnsi"/>
        </w:rPr>
        <w:t>BDSRA Foundation</w:t>
      </w:r>
    </w:p>
    <w:p w14:paraId="460058D7" w14:textId="77777777" w:rsidR="00CC27D4" w:rsidRPr="00CC27D4" w:rsidRDefault="00CC27D4" w:rsidP="00CC27D4">
      <w:pPr>
        <w:spacing w:after="0" w:line="240" w:lineRule="auto"/>
        <w:rPr>
          <w:rFonts w:cstheme="minorHAnsi"/>
          <w:shd w:val="clear" w:color="auto" w:fill="FFFFFF"/>
        </w:rPr>
      </w:pPr>
      <w:r w:rsidRPr="00CC27D4">
        <w:rPr>
          <w:rFonts w:cstheme="minorHAnsi"/>
          <w:shd w:val="clear" w:color="auto" w:fill="FFFFFF"/>
        </w:rPr>
        <w:t>Bubba's Light</w:t>
      </w:r>
    </w:p>
    <w:p w14:paraId="165D1B68" w14:textId="77777777" w:rsidR="00CC27D4" w:rsidRPr="00CC27D4" w:rsidRDefault="00CC27D4" w:rsidP="00CC27D4">
      <w:pPr>
        <w:spacing w:after="0" w:line="240" w:lineRule="auto"/>
        <w:rPr>
          <w:rFonts w:cstheme="minorHAnsi"/>
          <w:shd w:val="clear" w:color="auto" w:fill="FFFFFF"/>
        </w:rPr>
      </w:pPr>
      <w:r w:rsidRPr="00CC27D4">
        <w:rPr>
          <w:rFonts w:cstheme="minorHAnsi"/>
          <w:color w:val="1F1F1F"/>
          <w:shd w:val="clear" w:color="auto" w:fill="FFFFFF"/>
        </w:rPr>
        <w:t>CACNA1A Foundation</w:t>
      </w:r>
    </w:p>
    <w:p w14:paraId="0CF11C75" w14:textId="77777777" w:rsidR="00CC27D4" w:rsidRPr="00CC27D4" w:rsidRDefault="00CC27D4" w:rsidP="00CC27D4">
      <w:pPr>
        <w:spacing w:after="0" w:line="240" w:lineRule="auto"/>
        <w:rPr>
          <w:rFonts w:cstheme="minorHAnsi"/>
        </w:rPr>
      </w:pPr>
      <w:r w:rsidRPr="00CC27D4">
        <w:rPr>
          <w:rFonts w:cstheme="minorHAnsi"/>
        </w:rPr>
        <w:lastRenderedPageBreak/>
        <w:t>Coalition to Cure CHD2</w:t>
      </w:r>
    </w:p>
    <w:p w14:paraId="18DD6669" w14:textId="77777777" w:rsidR="00CC27D4" w:rsidRPr="00CC27D4" w:rsidRDefault="00CC27D4" w:rsidP="00CC27D4">
      <w:pPr>
        <w:spacing w:after="0" w:line="240" w:lineRule="auto"/>
        <w:rPr>
          <w:rFonts w:cstheme="minorHAnsi"/>
        </w:rPr>
      </w:pPr>
      <w:r w:rsidRPr="00CC27D4">
        <w:rPr>
          <w:rFonts w:cstheme="minorHAnsi"/>
          <w:color w:val="1F1F1F"/>
          <w:shd w:val="clear" w:color="auto" w:fill="FFFFFF"/>
        </w:rPr>
        <w:t>CRELD1 Warriors</w:t>
      </w:r>
    </w:p>
    <w:p w14:paraId="00AE7C93" w14:textId="77777777" w:rsidR="00CC27D4" w:rsidRPr="00CC27D4" w:rsidRDefault="00CC27D4" w:rsidP="00CC27D4">
      <w:pPr>
        <w:spacing w:after="0" w:line="240" w:lineRule="auto"/>
        <w:rPr>
          <w:rFonts w:cstheme="minorHAnsi"/>
        </w:rPr>
      </w:pPr>
      <w:r w:rsidRPr="00CC27D4">
        <w:rPr>
          <w:rFonts w:cstheme="minorHAnsi"/>
          <w:shd w:val="clear" w:color="auto" w:fill="FFFFFF"/>
        </w:rPr>
        <w:t>Cri du Chat Research Foundation</w:t>
      </w:r>
    </w:p>
    <w:p w14:paraId="40EDD03F" w14:textId="77777777" w:rsidR="00CC27D4" w:rsidRPr="00CC27D4" w:rsidRDefault="00CC27D4" w:rsidP="00CC27D4">
      <w:pPr>
        <w:spacing w:after="0" w:line="240" w:lineRule="auto"/>
        <w:rPr>
          <w:rFonts w:cstheme="minorHAnsi"/>
        </w:rPr>
      </w:pPr>
      <w:r w:rsidRPr="00CC27D4">
        <w:rPr>
          <w:rFonts w:cstheme="minorHAnsi"/>
        </w:rPr>
        <w:t>CSNK2A1 Foundation</w:t>
      </w:r>
    </w:p>
    <w:p w14:paraId="7E5AC73E" w14:textId="77777777" w:rsidR="00CC27D4" w:rsidRPr="00CC27D4" w:rsidRDefault="00CC27D4" w:rsidP="00CC27D4">
      <w:pPr>
        <w:spacing w:after="0" w:line="240" w:lineRule="auto"/>
        <w:rPr>
          <w:rFonts w:cstheme="minorHAnsi"/>
        </w:rPr>
      </w:pPr>
      <w:r w:rsidRPr="00CC27D4">
        <w:rPr>
          <w:rFonts w:cstheme="minorHAnsi"/>
          <w:color w:val="1F1F1F"/>
          <w:shd w:val="clear" w:color="auto" w:fill="FFFFFF"/>
        </w:rPr>
        <w:t>CSNK2B Foundation</w:t>
      </w:r>
    </w:p>
    <w:p w14:paraId="7B9A9054" w14:textId="77777777" w:rsidR="00CC27D4" w:rsidRPr="00CC27D4" w:rsidRDefault="00CC27D4" w:rsidP="00CC27D4">
      <w:pPr>
        <w:spacing w:after="0" w:line="240" w:lineRule="auto"/>
        <w:rPr>
          <w:rFonts w:cstheme="minorHAnsi"/>
        </w:rPr>
      </w:pPr>
      <w:r w:rsidRPr="00CC27D4">
        <w:rPr>
          <w:rFonts w:cstheme="minorHAnsi"/>
        </w:rPr>
        <w:t>CTNNB1 Connect &amp; Cure</w:t>
      </w:r>
    </w:p>
    <w:p w14:paraId="739FDBA0" w14:textId="77777777" w:rsidR="00CC27D4" w:rsidRPr="00CC27D4" w:rsidRDefault="00CC27D4" w:rsidP="00CC27D4">
      <w:pPr>
        <w:spacing w:after="0" w:line="240" w:lineRule="auto"/>
        <w:rPr>
          <w:rFonts w:cstheme="minorHAnsi"/>
        </w:rPr>
      </w:pPr>
      <w:r w:rsidRPr="00CC27D4">
        <w:rPr>
          <w:rFonts w:cstheme="minorHAnsi"/>
        </w:rPr>
        <w:t>CURE Epilepsy</w:t>
      </w:r>
    </w:p>
    <w:p w14:paraId="56B985BB" w14:textId="77777777" w:rsidR="00CC27D4" w:rsidRPr="00CC27D4" w:rsidRDefault="00CC27D4" w:rsidP="00CC27D4">
      <w:pPr>
        <w:spacing w:after="0" w:line="240" w:lineRule="auto"/>
        <w:rPr>
          <w:rFonts w:cstheme="minorHAnsi"/>
        </w:rPr>
      </w:pPr>
      <w:r w:rsidRPr="00CC27D4">
        <w:rPr>
          <w:rFonts w:cstheme="minorHAnsi"/>
          <w:color w:val="1F1F1F"/>
          <w:shd w:val="clear" w:color="auto" w:fill="FFFFFF"/>
        </w:rPr>
        <w:t>Cure GABA-A</w:t>
      </w:r>
    </w:p>
    <w:p w14:paraId="264C3379" w14:textId="77777777" w:rsidR="00CC27D4" w:rsidRPr="00CC27D4" w:rsidRDefault="00CC27D4" w:rsidP="00CC27D4">
      <w:pPr>
        <w:spacing w:after="0" w:line="240" w:lineRule="auto"/>
        <w:rPr>
          <w:rFonts w:cstheme="minorHAnsi"/>
        </w:rPr>
      </w:pPr>
      <w:r w:rsidRPr="00CC27D4">
        <w:rPr>
          <w:rFonts w:cstheme="minorHAnsi"/>
          <w:color w:val="1F1F1F"/>
          <w:shd w:val="clear" w:color="auto" w:fill="FFFFFF"/>
        </w:rPr>
        <w:t>Cure KCNH1 Foundation</w:t>
      </w:r>
    </w:p>
    <w:p w14:paraId="545F68F2" w14:textId="77777777" w:rsidR="00CC27D4" w:rsidRPr="00CC27D4" w:rsidRDefault="00CC27D4" w:rsidP="00CC27D4">
      <w:pPr>
        <w:spacing w:after="0" w:line="240" w:lineRule="auto"/>
        <w:rPr>
          <w:rFonts w:cstheme="minorHAnsi"/>
        </w:rPr>
      </w:pPr>
      <w:proofErr w:type="spellStart"/>
      <w:r w:rsidRPr="00CC27D4">
        <w:rPr>
          <w:rFonts w:cstheme="minorHAnsi"/>
        </w:rPr>
        <w:t>CureSHANK</w:t>
      </w:r>
      <w:proofErr w:type="spellEnd"/>
    </w:p>
    <w:p w14:paraId="6B49EA65" w14:textId="77777777" w:rsidR="00CC27D4" w:rsidRPr="00CC27D4" w:rsidRDefault="00CC27D4" w:rsidP="00CC27D4">
      <w:pPr>
        <w:spacing w:after="0" w:line="240" w:lineRule="auto"/>
        <w:rPr>
          <w:rFonts w:cstheme="minorHAnsi"/>
        </w:rPr>
      </w:pPr>
      <w:r w:rsidRPr="00CC27D4">
        <w:rPr>
          <w:rFonts w:cstheme="minorHAnsi"/>
          <w:color w:val="1F1F1F"/>
          <w:shd w:val="clear" w:color="auto" w:fill="FFFFFF"/>
        </w:rPr>
        <w:t>Danny Did Foundation</w:t>
      </w:r>
    </w:p>
    <w:p w14:paraId="0DB226C5" w14:textId="77777777" w:rsidR="00CC27D4" w:rsidRPr="00CC27D4" w:rsidRDefault="00CC27D4" w:rsidP="00CC27D4">
      <w:pPr>
        <w:spacing w:after="0" w:line="240" w:lineRule="auto"/>
        <w:rPr>
          <w:rFonts w:cstheme="minorHAnsi"/>
        </w:rPr>
      </w:pPr>
      <w:r w:rsidRPr="00CC27D4">
        <w:rPr>
          <w:rFonts w:cstheme="minorHAnsi"/>
        </w:rPr>
        <w:t>Developmental and Epileptic Encephalopathy Project/DEE-P Connections</w:t>
      </w:r>
    </w:p>
    <w:p w14:paraId="068613A2" w14:textId="77777777" w:rsidR="00CC27D4" w:rsidRPr="00CC27D4" w:rsidRDefault="00CC27D4" w:rsidP="00CC27D4">
      <w:pPr>
        <w:spacing w:after="0" w:line="240" w:lineRule="auto"/>
        <w:rPr>
          <w:rFonts w:cstheme="minorHAnsi"/>
        </w:rPr>
      </w:pPr>
      <w:r w:rsidRPr="00CC27D4">
        <w:rPr>
          <w:rFonts w:cstheme="minorHAnsi"/>
        </w:rPr>
        <w:t>Dravet Syndrome Foundation</w:t>
      </w:r>
    </w:p>
    <w:p w14:paraId="60ABECF1" w14:textId="77777777" w:rsidR="00CC27D4" w:rsidRPr="00CC27D4" w:rsidRDefault="00CC27D4" w:rsidP="00CC27D4">
      <w:pPr>
        <w:spacing w:after="0" w:line="240" w:lineRule="auto"/>
        <w:rPr>
          <w:rFonts w:cstheme="minorHAnsi"/>
        </w:rPr>
      </w:pPr>
      <w:r w:rsidRPr="00CC27D4">
        <w:rPr>
          <w:rFonts w:cstheme="minorHAnsi"/>
        </w:rPr>
        <w:t>Dup15q Alliance</w:t>
      </w:r>
    </w:p>
    <w:p w14:paraId="3EADB124" w14:textId="77777777" w:rsidR="00CC27D4" w:rsidRPr="00CC27D4" w:rsidRDefault="00CC27D4" w:rsidP="00CC27D4">
      <w:pPr>
        <w:spacing w:after="0" w:line="240" w:lineRule="auto"/>
        <w:rPr>
          <w:rFonts w:cstheme="minorHAnsi"/>
          <w:shd w:val="clear" w:color="auto" w:fill="FFFFFF"/>
        </w:rPr>
      </w:pPr>
      <w:r w:rsidRPr="00CC27D4">
        <w:rPr>
          <w:rFonts w:cstheme="minorHAnsi"/>
          <w:shd w:val="clear" w:color="auto" w:fill="FFFFFF"/>
        </w:rPr>
        <w:t>DYNC1H1 Association</w:t>
      </w:r>
    </w:p>
    <w:p w14:paraId="287198E2" w14:textId="77777777" w:rsidR="00CC27D4" w:rsidRPr="00CC27D4" w:rsidRDefault="00CC27D4" w:rsidP="00CC27D4">
      <w:pPr>
        <w:spacing w:after="0" w:line="240" w:lineRule="auto"/>
        <w:rPr>
          <w:rFonts w:cstheme="minorHAnsi"/>
        </w:rPr>
      </w:pPr>
      <w:r w:rsidRPr="00CC27D4">
        <w:rPr>
          <w:rFonts w:cstheme="minorHAnsi"/>
          <w:color w:val="1F1F1F"/>
          <w:shd w:val="clear" w:color="auto" w:fill="FFFFFF"/>
        </w:rPr>
        <w:t>Empowering Epilepsy</w:t>
      </w:r>
    </w:p>
    <w:p w14:paraId="2902D1AC" w14:textId="77777777" w:rsidR="00CC27D4" w:rsidRPr="00CC27D4" w:rsidRDefault="00CC27D4" w:rsidP="00CC27D4">
      <w:pPr>
        <w:spacing w:after="0" w:line="240" w:lineRule="auto"/>
        <w:rPr>
          <w:rFonts w:cstheme="minorHAnsi"/>
        </w:rPr>
      </w:pPr>
      <w:r w:rsidRPr="00CC27D4">
        <w:rPr>
          <w:rFonts w:cstheme="minorHAnsi"/>
        </w:rPr>
        <w:t>Epilepsies Action Network (EAN)</w:t>
      </w:r>
    </w:p>
    <w:p w14:paraId="6C327678" w14:textId="77777777" w:rsidR="00CC27D4" w:rsidRPr="00CC27D4" w:rsidRDefault="00CC27D4" w:rsidP="00CC27D4">
      <w:pPr>
        <w:spacing w:after="0" w:line="240" w:lineRule="auto"/>
        <w:rPr>
          <w:rFonts w:cstheme="minorHAnsi"/>
        </w:rPr>
      </w:pPr>
      <w:r w:rsidRPr="00CC27D4">
        <w:rPr>
          <w:rFonts w:cstheme="minorHAnsi"/>
        </w:rPr>
        <w:t xml:space="preserve">Epilepsy Alliance America </w:t>
      </w:r>
    </w:p>
    <w:p w14:paraId="66F7C244" w14:textId="77777777" w:rsidR="00CC27D4" w:rsidRPr="00CC27D4" w:rsidRDefault="00CC27D4" w:rsidP="00CC27D4">
      <w:pPr>
        <w:spacing w:after="0" w:line="240" w:lineRule="auto"/>
        <w:rPr>
          <w:rFonts w:cstheme="minorHAnsi"/>
        </w:rPr>
      </w:pPr>
      <w:r w:rsidRPr="00CC27D4">
        <w:rPr>
          <w:rFonts w:cstheme="minorHAnsi"/>
          <w:color w:val="1F1F1F"/>
          <w:shd w:val="clear" w:color="auto" w:fill="FFFFFF"/>
        </w:rPr>
        <w:t>Epilepsy Association of Western and Central PA</w:t>
      </w:r>
    </w:p>
    <w:p w14:paraId="49E4A177" w14:textId="7B95C6E3" w:rsidR="00CC27D4" w:rsidRPr="00CC27D4" w:rsidRDefault="00CC27D4" w:rsidP="00CC27D4">
      <w:pPr>
        <w:spacing w:after="0" w:line="240" w:lineRule="auto"/>
        <w:rPr>
          <w:rFonts w:cstheme="minorHAnsi"/>
        </w:rPr>
      </w:pPr>
      <w:r w:rsidRPr="00CC27D4">
        <w:rPr>
          <w:rFonts w:cstheme="minorHAnsi"/>
        </w:rPr>
        <w:t xml:space="preserve">Epilepsy Foundation </w:t>
      </w:r>
      <w:r w:rsidR="006F0E1F">
        <w:rPr>
          <w:rFonts w:cstheme="minorHAnsi"/>
        </w:rPr>
        <w:t>of America</w:t>
      </w:r>
    </w:p>
    <w:p w14:paraId="6313283F" w14:textId="77777777" w:rsidR="00CC27D4" w:rsidRPr="00CC27D4" w:rsidRDefault="00CC27D4" w:rsidP="00CC27D4">
      <w:pPr>
        <w:spacing w:after="0" w:line="240" w:lineRule="auto"/>
        <w:rPr>
          <w:rFonts w:cstheme="minorHAnsi"/>
        </w:rPr>
      </w:pPr>
      <w:r w:rsidRPr="00CC27D4">
        <w:rPr>
          <w:rFonts w:cstheme="minorHAnsi"/>
        </w:rPr>
        <w:t>Epilepsy Leadership Council (ELC)</w:t>
      </w:r>
    </w:p>
    <w:p w14:paraId="70FBE6CE" w14:textId="77777777" w:rsidR="00CC27D4" w:rsidRPr="00CC27D4" w:rsidRDefault="00CC27D4" w:rsidP="00CC27D4">
      <w:pPr>
        <w:spacing w:after="0" w:line="240" w:lineRule="auto"/>
        <w:rPr>
          <w:rFonts w:cstheme="minorHAnsi"/>
          <w:color w:val="1F1F1F"/>
          <w:shd w:val="clear" w:color="auto" w:fill="FFFFFF"/>
        </w:rPr>
      </w:pPr>
      <w:r w:rsidRPr="00CC27D4">
        <w:rPr>
          <w:rFonts w:cstheme="minorHAnsi"/>
          <w:color w:val="1F1F1F"/>
          <w:shd w:val="clear" w:color="auto" w:fill="FFFFFF"/>
        </w:rPr>
        <w:t>Epilepsy Reach Foundation</w:t>
      </w:r>
    </w:p>
    <w:p w14:paraId="0AD25896" w14:textId="77777777" w:rsidR="00CC27D4" w:rsidRPr="00CC27D4" w:rsidRDefault="00CC27D4" w:rsidP="00CC27D4">
      <w:pPr>
        <w:spacing w:after="0" w:line="240" w:lineRule="auto"/>
        <w:rPr>
          <w:rFonts w:cstheme="minorHAnsi"/>
        </w:rPr>
      </w:pPr>
      <w:r w:rsidRPr="00CC27D4">
        <w:rPr>
          <w:rFonts w:cstheme="minorHAnsi"/>
          <w:color w:val="1F1F1F"/>
          <w:shd w:val="clear" w:color="auto" w:fill="FFFFFF"/>
        </w:rPr>
        <w:t>Epilepsy Services Foundation, Inc.</w:t>
      </w:r>
    </w:p>
    <w:p w14:paraId="429D2DC3" w14:textId="77777777" w:rsidR="00CC27D4" w:rsidRPr="00CC27D4" w:rsidRDefault="00CC27D4" w:rsidP="00CC27D4">
      <w:pPr>
        <w:spacing w:after="0" w:line="240" w:lineRule="auto"/>
        <w:rPr>
          <w:rFonts w:cstheme="minorHAnsi"/>
        </w:rPr>
      </w:pPr>
      <w:r w:rsidRPr="00CC27D4">
        <w:rPr>
          <w:rFonts w:cstheme="minorHAnsi"/>
        </w:rPr>
        <w:t>Epilepsy Support Network of Orange County</w:t>
      </w:r>
    </w:p>
    <w:p w14:paraId="22F15F51" w14:textId="77777777" w:rsidR="00CC27D4" w:rsidRPr="00CC27D4" w:rsidRDefault="00CC27D4" w:rsidP="00CC27D4">
      <w:pPr>
        <w:spacing w:after="0" w:line="240" w:lineRule="auto"/>
        <w:rPr>
          <w:rFonts w:cstheme="minorHAnsi"/>
        </w:rPr>
      </w:pPr>
      <w:r w:rsidRPr="00CC27D4">
        <w:rPr>
          <w:rFonts w:cstheme="minorHAnsi"/>
          <w:color w:val="1F1F1F"/>
          <w:shd w:val="clear" w:color="auto" w:fill="FFFFFF"/>
        </w:rPr>
        <w:t>FAM177A1 RESEARCH FUND</w:t>
      </w:r>
    </w:p>
    <w:p w14:paraId="20E27939" w14:textId="77777777" w:rsidR="00CC27D4" w:rsidRPr="00CC27D4" w:rsidRDefault="00CC27D4" w:rsidP="00CC27D4">
      <w:pPr>
        <w:spacing w:after="0" w:line="240" w:lineRule="auto"/>
        <w:rPr>
          <w:rFonts w:cstheme="minorHAnsi"/>
        </w:rPr>
      </w:pPr>
      <w:r w:rsidRPr="00CC27D4">
        <w:rPr>
          <w:rFonts w:cstheme="minorHAnsi"/>
          <w:color w:val="1F1F1F"/>
          <w:shd w:val="clear" w:color="auto" w:fill="FFFFFF"/>
        </w:rPr>
        <w:t>Finding Hope for FRRS1L</w:t>
      </w:r>
    </w:p>
    <w:p w14:paraId="2B514E88" w14:textId="77777777" w:rsidR="00CC27D4" w:rsidRPr="00CC27D4" w:rsidRDefault="00CC27D4" w:rsidP="00CC27D4">
      <w:pPr>
        <w:spacing w:after="0" w:line="240" w:lineRule="auto"/>
        <w:rPr>
          <w:rFonts w:cstheme="minorHAnsi"/>
        </w:rPr>
      </w:pPr>
      <w:r w:rsidRPr="00CC27D4">
        <w:rPr>
          <w:rFonts w:cstheme="minorHAnsi"/>
        </w:rPr>
        <w:t>GABA-A Alliance</w:t>
      </w:r>
    </w:p>
    <w:p w14:paraId="693E948A" w14:textId="77777777" w:rsidR="00CC27D4" w:rsidRPr="00CC27D4" w:rsidRDefault="00CC27D4" w:rsidP="00CC27D4">
      <w:pPr>
        <w:spacing w:after="0" w:line="240" w:lineRule="auto"/>
        <w:rPr>
          <w:rFonts w:cstheme="minorHAnsi"/>
        </w:rPr>
      </w:pPr>
      <w:r w:rsidRPr="00CC27D4">
        <w:rPr>
          <w:rFonts w:cstheme="minorHAnsi"/>
        </w:rPr>
        <w:t>Glut1 Deficiency Foundation</w:t>
      </w:r>
    </w:p>
    <w:p w14:paraId="20D569DF" w14:textId="77777777" w:rsidR="00CC27D4" w:rsidRDefault="00CC27D4" w:rsidP="00CC27D4">
      <w:pPr>
        <w:spacing w:after="0" w:line="240" w:lineRule="auto"/>
        <w:rPr>
          <w:rFonts w:cstheme="minorHAnsi"/>
        </w:rPr>
      </w:pPr>
      <w:r w:rsidRPr="00CC27D4">
        <w:rPr>
          <w:rFonts w:cstheme="minorHAnsi"/>
        </w:rPr>
        <w:t>GRIN2B Foundation</w:t>
      </w:r>
    </w:p>
    <w:p w14:paraId="053AC098" w14:textId="6DE8B4E7" w:rsidR="00144F70" w:rsidRPr="00144F70" w:rsidRDefault="00144F70" w:rsidP="00CC27D4">
      <w:pPr>
        <w:spacing w:after="0" w:line="240" w:lineRule="auto"/>
        <w:rPr>
          <w:rFonts w:cstheme="minorHAnsi"/>
        </w:rPr>
      </w:pPr>
      <w:r w:rsidRPr="00144F70">
        <w:rPr>
          <w:rFonts w:cstheme="minorHAnsi"/>
          <w:color w:val="1F1F1F"/>
          <w:shd w:val="clear" w:color="auto" w:fill="FFFFFF"/>
        </w:rPr>
        <w:t>HNRNP Family Foundation</w:t>
      </w:r>
    </w:p>
    <w:p w14:paraId="364B4D87" w14:textId="77777777" w:rsidR="00CC27D4" w:rsidRPr="00CC27D4" w:rsidRDefault="00CC27D4" w:rsidP="00CC27D4">
      <w:pPr>
        <w:spacing w:after="0" w:line="240" w:lineRule="auto"/>
        <w:rPr>
          <w:rFonts w:cstheme="minorHAnsi"/>
          <w:color w:val="1F1F1F"/>
          <w:shd w:val="clear" w:color="auto" w:fill="FFFFFF"/>
        </w:rPr>
      </w:pPr>
      <w:r w:rsidRPr="00CC27D4">
        <w:rPr>
          <w:rFonts w:cstheme="minorHAnsi"/>
          <w:color w:val="1F1F1F"/>
          <w:shd w:val="clear" w:color="auto" w:fill="FFFFFF"/>
        </w:rPr>
        <w:t>Hope for HIE</w:t>
      </w:r>
    </w:p>
    <w:p w14:paraId="01EA12C2" w14:textId="77777777" w:rsidR="00CC27D4" w:rsidRPr="00CC27D4" w:rsidRDefault="00CC27D4" w:rsidP="00CC27D4">
      <w:pPr>
        <w:spacing w:after="0" w:line="240" w:lineRule="auto"/>
        <w:rPr>
          <w:rFonts w:cstheme="minorHAnsi"/>
        </w:rPr>
      </w:pPr>
      <w:r w:rsidRPr="00CC27D4">
        <w:rPr>
          <w:rFonts w:cstheme="minorHAnsi"/>
          <w:color w:val="1F1F1F"/>
          <w:shd w:val="clear" w:color="auto" w:fill="FFFFFF"/>
        </w:rPr>
        <w:t>Hope for Hypothalamic Hamartomas</w:t>
      </w:r>
    </w:p>
    <w:p w14:paraId="0BDE405F" w14:textId="77777777" w:rsidR="00CC27D4" w:rsidRPr="00CC27D4" w:rsidRDefault="00CC27D4" w:rsidP="00CC27D4">
      <w:pPr>
        <w:spacing w:after="0" w:line="240" w:lineRule="auto"/>
        <w:rPr>
          <w:rFonts w:cstheme="minorHAnsi"/>
        </w:rPr>
      </w:pPr>
      <w:r w:rsidRPr="00CC27D4">
        <w:rPr>
          <w:rFonts w:cstheme="minorHAnsi"/>
        </w:rPr>
        <w:t>International Foundation for CDKL5 Research</w:t>
      </w:r>
    </w:p>
    <w:p w14:paraId="68583036" w14:textId="77777777" w:rsidR="00CC27D4" w:rsidRPr="00CC27D4" w:rsidRDefault="00CC27D4" w:rsidP="00CC27D4">
      <w:pPr>
        <w:spacing w:after="0" w:line="240" w:lineRule="auto"/>
        <w:rPr>
          <w:rFonts w:cstheme="minorHAnsi"/>
        </w:rPr>
      </w:pPr>
      <w:r w:rsidRPr="00CC27D4">
        <w:rPr>
          <w:rFonts w:cstheme="minorHAnsi"/>
        </w:rPr>
        <w:t xml:space="preserve">International SCN8A Alliance </w:t>
      </w:r>
    </w:p>
    <w:p w14:paraId="1A3E8531" w14:textId="77777777" w:rsidR="00CC27D4" w:rsidRPr="00CC27D4" w:rsidRDefault="00CC27D4" w:rsidP="00CC27D4">
      <w:pPr>
        <w:spacing w:after="0" w:line="240" w:lineRule="auto"/>
        <w:rPr>
          <w:rFonts w:cstheme="minorHAnsi"/>
          <w:shd w:val="clear" w:color="auto" w:fill="FFFFFF"/>
        </w:rPr>
      </w:pPr>
      <w:r w:rsidRPr="00CC27D4">
        <w:rPr>
          <w:rFonts w:cstheme="minorHAnsi"/>
          <w:shd w:val="clear" w:color="auto" w:fill="FFFFFF"/>
        </w:rPr>
        <w:t>Jordan's Guardian Angels</w:t>
      </w:r>
    </w:p>
    <w:p w14:paraId="6B885D79" w14:textId="77777777" w:rsidR="00CC27D4" w:rsidRPr="00CC27D4" w:rsidRDefault="00CC27D4" w:rsidP="00CC27D4">
      <w:pPr>
        <w:spacing w:after="0" w:line="240" w:lineRule="auto"/>
        <w:rPr>
          <w:rFonts w:cstheme="minorHAnsi"/>
        </w:rPr>
      </w:pPr>
      <w:proofErr w:type="spellStart"/>
      <w:r w:rsidRPr="00CC27D4">
        <w:rPr>
          <w:rFonts w:cstheme="minorHAnsi"/>
          <w:color w:val="1F1F1F"/>
          <w:shd w:val="clear" w:color="auto" w:fill="FFFFFF"/>
        </w:rPr>
        <w:t>JoshProvides</w:t>
      </w:r>
      <w:proofErr w:type="spellEnd"/>
      <w:r w:rsidRPr="00CC27D4">
        <w:rPr>
          <w:rFonts w:cstheme="minorHAnsi"/>
          <w:color w:val="1F1F1F"/>
          <w:shd w:val="clear" w:color="auto" w:fill="FFFFFF"/>
        </w:rPr>
        <w:t xml:space="preserve"> Epilepsy Assistance Foundation, Inc.</w:t>
      </w:r>
    </w:p>
    <w:p w14:paraId="6976DF65" w14:textId="77777777" w:rsidR="00CC27D4" w:rsidRPr="00CC27D4" w:rsidRDefault="00CC27D4" w:rsidP="00CC27D4">
      <w:pPr>
        <w:spacing w:after="0" w:line="240" w:lineRule="auto"/>
        <w:rPr>
          <w:rFonts w:cstheme="minorHAnsi"/>
        </w:rPr>
      </w:pPr>
      <w:r w:rsidRPr="00CC27D4">
        <w:rPr>
          <w:rFonts w:cstheme="minorHAnsi"/>
        </w:rPr>
        <w:t xml:space="preserve">KCNQ2 Cure Alliance </w:t>
      </w:r>
    </w:p>
    <w:p w14:paraId="10650A06" w14:textId="77777777" w:rsidR="00CC27D4" w:rsidRPr="00CC27D4" w:rsidRDefault="00CC27D4" w:rsidP="00CC27D4">
      <w:pPr>
        <w:spacing w:after="0" w:line="240" w:lineRule="auto"/>
        <w:rPr>
          <w:rFonts w:cstheme="minorHAnsi"/>
        </w:rPr>
      </w:pPr>
      <w:r w:rsidRPr="00CC27D4">
        <w:rPr>
          <w:rFonts w:cstheme="minorHAnsi"/>
          <w:shd w:val="clear" w:color="auto" w:fill="FFFFFF"/>
        </w:rPr>
        <w:t>KCNT1 Epilepsy Foundation</w:t>
      </w:r>
    </w:p>
    <w:p w14:paraId="0F3E43FA" w14:textId="77777777" w:rsidR="00CC27D4" w:rsidRPr="008800E1" w:rsidRDefault="00CC27D4" w:rsidP="00CC27D4">
      <w:pPr>
        <w:spacing w:after="0" w:line="240" w:lineRule="auto"/>
        <w:rPr>
          <w:rFonts w:cstheme="minorHAnsi"/>
          <w:lang w:val="fr-FR"/>
        </w:rPr>
      </w:pPr>
      <w:proofErr w:type="spellStart"/>
      <w:r w:rsidRPr="008800E1">
        <w:rPr>
          <w:rFonts w:cstheme="minorHAnsi"/>
          <w:lang w:val="fr-FR"/>
        </w:rPr>
        <w:t>Koolen</w:t>
      </w:r>
      <w:proofErr w:type="spellEnd"/>
      <w:r w:rsidRPr="008800E1">
        <w:rPr>
          <w:rFonts w:cstheme="minorHAnsi"/>
          <w:lang w:val="fr-FR"/>
        </w:rPr>
        <w:t xml:space="preserve">-de Vries Syndrome </w:t>
      </w:r>
      <w:proofErr w:type="spellStart"/>
      <w:r w:rsidRPr="008800E1">
        <w:rPr>
          <w:rFonts w:cstheme="minorHAnsi"/>
          <w:lang w:val="fr-FR"/>
        </w:rPr>
        <w:t>Foundation</w:t>
      </w:r>
      <w:proofErr w:type="spellEnd"/>
      <w:r w:rsidRPr="008800E1">
        <w:rPr>
          <w:rFonts w:cstheme="minorHAnsi"/>
          <w:lang w:val="fr-FR"/>
        </w:rPr>
        <w:t xml:space="preserve"> </w:t>
      </w:r>
    </w:p>
    <w:p w14:paraId="62C27F59" w14:textId="77777777" w:rsidR="00CC27D4" w:rsidRPr="008800E1" w:rsidRDefault="00CC27D4" w:rsidP="00CC27D4">
      <w:pPr>
        <w:spacing w:after="0" w:line="240" w:lineRule="auto"/>
        <w:rPr>
          <w:rFonts w:cstheme="minorHAnsi"/>
          <w:lang w:val="fr-FR"/>
        </w:rPr>
      </w:pPr>
      <w:r w:rsidRPr="008800E1">
        <w:rPr>
          <w:rFonts w:cstheme="minorHAnsi"/>
          <w:color w:val="1F1F1F"/>
          <w:shd w:val="clear" w:color="auto" w:fill="FFFFFF"/>
          <w:lang w:val="fr-FR"/>
        </w:rPr>
        <w:t>KPTN Alliance</w:t>
      </w:r>
    </w:p>
    <w:p w14:paraId="5A9C55A4" w14:textId="77777777" w:rsidR="00CC27D4" w:rsidRPr="00CC27D4" w:rsidRDefault="00CC27D4" w:rsidP="00CC27D4">
      <w:pPr>
        <w:spacing w:after="0" w:line="240" w:lineRule="auto"/>
        <w:rPr>
          <w:rFonts w:cstheme="minorHAnsi"/>
        </w:rPr>
      </w:pPr>
      <w:r w:rsidRPr="00CC27D4">
        <w:rPr>
          <w:rFonts w:cstheme="minorHAnsi"/>
        </w:rPr>
        <w:t>Lennox-</w:t>
      </w:r>
      <w:proofErr w:type="spellStart"/>
      <w:r w:rsidRPr="00CC27D4">
        <w:rPr>
          <w:rFonts w:cstheme="minorHAnsi"/>
        </w:rPr>
        <w:t>Gastaut</w:t>
      </w:r>
      <w:proofErr w:type="spellEnd"/>
      <w:r w:rsidRPr="00CC27D4">
        <w:rPr>
          <w:rFonts w:cstheme="minorHAnsi"/>
        </w:rPr>
        <w:t xml:space="preserve"> Syndrome (LGS) Foundation </w:t>
      </w:r>
    </w:p>
    <w:p w14:paraId="3A8E6C64" w14:textId="77777777" w:rsidR="00CC27D4" w:rsidRPr="00CC27D4" w:rsidRDefault="00CC27D4" w:rsidP="00CC27D4">
      <w:pPr>
        <w:spacing w:after="0" w:line="240" w:lineRule="auto"/>
        <w:rPr>
          <w:rFonts w:cstheme="minorHAnsi"/>
        </w:rPr>
      </w:pPr>
      <w:r w:rsidRPr="00CC27D4">
        <w:rPr>
          <w:rFonts w:cstheme="minorHAnsi"/>
        </w:rPr>
        <w:t>My Kool Brother</w:t>
      </w:r>
    </w:p>
    <w:p w14:paraId="04E0FCD1" w14:textId="77777777" w:rsidR="00CC27D4" w:rsidRDefault="00CC27D4" w:rsidP="00CC27D4">
      <w:pPr>
        <w:spacing w:after="0" w:line="240" w:lineRule="auto"/>
        <w:rPr>
          <w:rFonts w:cstheme="minorHAnsi"/>
        </w:rPr>
      </w:pPr>
      <w:r w:rsidRPr="00CC27D4">
        <w:rPr>
          <w:rFonts w:cstheme="minorHAnsi"/>
        </w:rPr>
        <w:t>NORSE Institute</w:t>
      </w:r>
    </w:p>
    <w:p w14:paraId="193DBBAF" w14:textId="31C41DBC" w:rsidR="001D0FB9" w:rsidRPr="00CC27D4" w:rsidRDefault="001D0FB9" w:rsidP="00CC27D4">
      <w:pPr>
        <w:spacing w:after="0" w:line="240" w:lineRule="auto"/>
        <w:rPr>
          <w:rFonts w:cstheme="minorHAnsi"/>
        </w:rPr>
      </w:pPr>
      <w:r w:rsidRPr="001D0FB9">
        <w:rPr>
          <w:rFonts w:cstheme="minorHAnsi"/>
        </w:rPr>
        <w:t>NR2F1 Foundation</w:t>
      </w:r>
    </w:p>
    <w:p w14:paraId="464F9227" w14:textId="77777777" w:rsidR="00CC27D4" w:rsidRDefault="00CC27D4" w:rsidP="00CC27D4">
      <w:pPr>
        <w:spacing w:after="0" w:line="240" w:lineRule="auto"/>
        <w:rPr>
          <w:rFonts w:cstheme="minorHAnsi"/>
          <w:color w:val="1F1F1F"/>
          <w:shd w:val="clear" w:color="auto" w:fill="FFFFFF"/>
        </w:rPr>
      </w:pPr>
      <w:r w:rsidRPr="00CC27D4">
        <w:rPr>
          <w:rFonts w:cstheme="minorHAnsi"/>
          <w:color w:val="1F1F1F"/>
          <w:shd w:val="clear" w:color="auto" w:fill="FFFFFF"/>
        </w:rPr>
        <w:t>PCDH19 Alliance</w:t>
      </w:r>
    </w:p>
    <w:p w14:paraId="4DB09E9F" w14:textId="192F86FA" w:rsidR="000E0977" w:rsidRPr="00CC27D4" w:rsidRDefault="000E0977" w:rsidP="00CC27D4">
      <w:pPr>
        <w:spacing w:after="0" w:line="240" w:lineRule="auto"/>
        <w:rPr>
          <w:rFonts w:cstheme="minorHAnsi"/>
        </w:rPr>
      </w:pPr>
      <w:r>
        <w:rPr>
          <w:rFonts w:cstheme="minorHAnsi"/>
          <w:color w:val="1F1F1F"/>
          <w:shd w:val="clear" w:color="auto" w:fill="FFFFFF"/>
        </w:rPr>
        <w:t>Partners Against Mortality in Epilepsy</w:t>
      </w:r>
      <w:r w:rsidR="00590447">
        <w:rPr>
          <w:rFonts w:cstheme="minorHAnsi"/>
          <w:color w:val="1F1F1F"/>
          <w:shd w:val="clear" w:color="auto" w:fill="FFFFFF"/>
        </w:rPr>
        <w:t xml:space="preserve"> (PAME)</w:t>
      </w:r>
    </w:p>
    <w:p w14:paraId="75A6ACCB" w14:textId="77777777" w:rsidR="00CC27D4" w:rsidRPr="00CC27D4" w:rsidRDefault="00CC27D4" w:rsidP="00CC27D4">
      <w:pPr>
        <w:spacing w:after="0" w:line="240" w:lineRule="auto"/>
        <w:rPr>
          <w:rFonts w:cstheme="minorHAnsi"/>
        </w:rPr>
      </w:pPr>
      <w:r w:rsidRPr="00CC27D4">
        <w:rPr>
          <w:rFonts w:cstheme="minorHAnsi"/>
          <w:spacing w:val="3"/>
          <w:shd w:val="clear" w:color="auto" w:fill="F8F9FA"/>
        </w:rPr>
        <w:t>Pediatric Epilepsy Research Consortium</w:t>
      </w:r>
    </w:p>
    <w:p w14:paraId="163FE4A8" w14:textId="77777777" w:rsidR="00CC27D4" w:rsidRPr="00CC27D4" w:rsidRDefault="00CC27D4" w:rsidP="00CC27D4">
      <w:pPr>
        <w:spacing w:after="0" w:line="240" w:lineRule="auto"/>
        <w:rPr>
          <w:rFonts w:cstheme="minorHAnsi"/>
        </w:rPr>
      </w:pPr>
      <w:r w:rsidRPr="00CC27D4">
        <w:rPr>
          <w:rFonts w:cstheme="minorHAnsi"/>
        </w:rPr>
        <w:t>Pediatric Epilepsy Surgery Alliance</w:t>
      </w:r>
    </w:p>
    <w:p w14:paraId="2C33ACB7" w14:textId="77777777" w:rsidR="00CC27D4" w:rsidRPr="00CC27D4" w:rsidRDefault="00CC27D4" w:rsidP="00CC27D4">
      <w:pPr>
        <w:spacing w:after="0" w:line="240" w:lineRule="auto"/>
        <w:rPr>
          <w:rFonts w:cstheme="minorHAnsi"/>
        </w:rPr>
      </w:pPr>
      <w:r w:rsidRPr="00CC27D4">
        <w:rPr>
          <w:rFonts w:cstheme="minorHAnsi"/>
        </w:rPr>
        <w:lastRenderedPageBreak/>
        <w:t xml:space="preserve">Phelan-McDermid Syndrome Foundation </w:t>
      </w:r>
    </w:p>
    <w:p w14:paraId="5575BE59" w14:textId="77777777" w:rsidR="00CC27D4" w:rsidRPr="00CC27D4" w:rsidRDefault="00CC27D4" w:rsidP="00CC27D4">
      <w:pPr>
        <w:spacing w:after="0" w:line="240" w:lineRule="auto"/>
        <w:rPr>
          <w:rFonts w:cstheme="minorHAnsi"/>
        </w:rPr>
      </w:pPr>
      <w:r w:rsidRPr="00CC27D4">
        <w:rPr>
          <w:rFonts w:cstheme="minorHAnsi"/>
        </w:rPr>
        <w:t>PPP3CA Hope Foundation</w:t>
      </w:r>
    </w:p>
    <w:p w14:paraId="21143C51" w14:textId="77777777" w:rsidR="00CC27D4" w:rsidRPr="00CC27D4" w:rsidRDefault="00CC27D4" w:rsidP="00CC27D4">
      <w:pPr>
        <w:spacing w:after="0" w:line="240" w:lineRule="auto"/>
        <w:rPr>
          <w:rFonts w:cstheme="minorHAnsi"/>
        </w:rPr>
      </w:pPr>
      <w:r w:rsidRPr="00CC27D4">
        <w:rPr>
          <w:rFonts w:cstheme="minorHAnsi"/>
          <w:color w:val="1F1F1F"/>
          <w:shd w:val="clear" w:color="auto" w:fill="FFFFFF"/>
        </w:rPr>
        <w:t>PURA Syndrome Foundation</w:t>
      </w:r>
    </w:p>
    <w:p w14:paraId="205ABD0E" w14:textId="77777777" w:rsidR="00CC27D4" w:rsidRPr="00CC27D4" w:rsidRDefault="00CC27D4" w:rsidP="00CC27D4">
      <w:pPr>
        <w:spacing w:after="0" w:line="240" w:lineRule="auto"/>
        <w:rPr>
          <w:rFonts w:cstheme="minorHAnsi"/>
        </w:rPr>
      </w:pPr>
      <w:r w:rsidRPr="00CC27D4">
        <w:rPr>
          <w:rFonts w:cstheme="minorHAnsi"/>
          <w:shd w:val="clear" w:color="auto" w:fill="FFFFFF"/>
        </w:rPr>
        <w:t>Purple Peace 4 Epilepsy</w:t>
      </w:r>
    </w:p>
    <w:p w14:paraId="54137C74" w14:textId="26CC6B2E" w:rsidR="00CC27D4" w:rsidRPr="00CC27D4" w:rsidRDefault="00CC27D4" w:rsidP="00CC27D4">
      <w:pPr>
        <w:spacing w:after="0" w:line="240" w:lineRule="auto"/>
        <w:rPr>
          <w:rFonts w:cstheme="minorHAnsi"/>
        </w:rPr>
      </w:pPr>
      <w:r w:rsidRPr="00CC27D4">
        <w:rPr>
          <w:rFonts w:cstheme="minorHAnsi"/>
        </w:rPr>
        <w:t>Rare Epilepsy Network (REN)</w:t>
      </w:r>
      <w:r w:rsidR="006323AC">
        <w:rPr>
          <w:rFonts w:cstheme="minorHAnsi"/>
        </w:rPr>
        <w:t xml:space="preserve"> Coordinating Committee</w:t>
      </w:r>
    </w:p>
    <w:p w14:paraId="0A9A5B17" w14:textId="77777777" w:rsidR="00CC27D4" w:rsidRPr="00CC27D4" w:rsidRDefault="00CC27D4" w:rsidP="00CC27D4">
      <w:pPr>
        <w:spacing w:after="0" w:line="240" w:lineRule="auto"/>
        <w:rPr>
          <w:rFonts w:cstheme="minorHAnsi"/>
        </w:rPr>
      </w:pPr>
      <w:r w:rsidRPr="00CC27D4">
        <w:rPr>
          <w:rFonts w:cstheme="minorHAnsi"/>
          <w:color w:val="1F1F1F"/>
          <w:shd w:val="clear" w:color="auto" w:fill="FFFFFF"/>
        </w:rPr>
        <w:t>Ring14 USA</w:t>
      </w:r>
    </w:p>
    <w:p w14:paraId="5EA538E0" w14:textId="77777777" w:rsidR="00CC27D4" w:rsidRPr="00CC27D4" w:rsidRDefault="00CC27D4" w:rsidP="00CC27D4">
      <w:pPr>
        <w:spacing w:after="0" w:line="240" w:lineRule="auto"/>
        <w:rPr>
          <w:rFonts w:cstheme="minorHAnsi"/>
          <w:shd w:val="clear" w:color="auto" w:fill="FFFFFF"/>
        </w:rPr>
      </w:pPr>
      <w:r w:rsidRPr="00CC27D4">
        <w:rPr>
          <w:rFonts w:cstheme="minorHAnsi"/>
          <w:shd w:val="clear" w:color="auto" w:fill="FFFFFF"/>
        </w:rPr>
        <w:t>SLC6A1 Connect</w:t>
      </w:r>
    </w:p>
    <w:p w14:paraId="0383DA12" w14:textId="77777777" w:rsidR="00CC27D4" w:rsidRPr="00CC27D4" w:rsidRDefault="00CC27D4" w:rsidP="00CC27D4">
      <w:pPr>
        <w:spacing w:after="0" w:line="240" w:lineRule="auto"/>
        <w:rPr>
          <w:rFonts w:cstheme="minorHAnsi"/>
          <w:spacing w:val="3"/>
          <w:shd w:val="clear" w:color="auto" w:fill="F8F9FA"/>
        </w:rPr>
      </w:pPr>
      <w:r w:rsidRPr="00CC27D4">
        <w:rPr>
          <w:rFonts w:cstheme="minorHAnsi"/>
          <w:spacing w:val="3"/>
          <w:shd w:val="clear" w:color="auto" w:fill="F8F9FA"/>
        </w:rPr>
        <w:t>SMC1A Foundation</w:t>
      </w:r>
    </w:p>
    <w:p w14:paraId="74519F34" w14:textId="77777777" w:rsidR="00CC27D4" w:rsidRPr="00CC27D4" w:rsidRDefault="00CC27D4" w:rsidP="00CC27D4">
      <w:pPr>
        <w:spacing w:after="0" w:line="240" w:lineRule="auto"/>
        <w:rPr>
          <w:rFonts w:cstheme="minorHAnsi"/>
        </w:rPr>
      </w:pPr>
      <w:r w:rsidRPr="00CC27D4">
        <w:rPr>
          <w:rFonts w:cstheme="minorHAnsi"/>
        </w:rPr>
        <w:t xml:space="preserve">South Carolina Advocates </w:t>
      </w:r>
      <w:proofErr w:type="gramStart"/>
      <w:r w:rsidRPr="00CC27D4">
        <w:rPr>
          <w:rFonts w:cstheme="minorHAnsi"/>
        </w:rPr>
        <w:t>For</w:t>
      </w:r>
      <w:proofErr w:type="gramEnd"/>
      <w:r w:rsidRPr="00CC27D4">
        <w:rPr>
          <w:rFonts w:cstheme="minorHAnsi"/>
        </w:rPr>
        <w:t xml:space="preserve"> Epilepsy</w:t>
      </w:r>
    </w:p>
    <w:p w14:paraId="7A5596B5" w14:textId="77777777" w:rsidR="00CC27D4" w:rsidRPr="00CC27D4" w:rsidRDefault="00CC27D4" w:rsidP="00CC27D4">
      <w:pPr>
        <w:spacing w:after="0" w:line="240" w:lineRule="auto"/>
        <w:rPr>
          <w:rFonts w:cstheme="minorHAnsi"/>
        </w:rPr>
      </w:pPr>
      <w:r w:rsidRPr="00CC27D4">
        <w:rPr>
          <w:rFonts w:cstheme="minorHAnsi"/>
        </w:rPr>
        <w:t>STXBP1 Foundation</w:t>
      </w:r>
    </w:p>
    <w:p w14:paraId="408391AB" w14:textId="77777777" w:rsidR="00CC27D4" w:rsidRPr="00CC27D4" w:rsidRDefault="00CC27D4" w:rsidP="00CC27D4">
      <w:pPr>
        <w:spacing w:after="0" w:line="240" w:lineRule="auto"/>
        <w:rPr>
          <w:rFonts w:cstheme="minorHAnsi"/>
          <w:color w:val="1F1F1F"/>
          <w:shd w:val="clear" w:color="auto" w:fill="FFFFFF"/>
        </w:rPr>
      </w:pPr>
      <w:proofErr w:type="spellStart"/>
      <w:r w:rsidRPr="00CC27D4">
        <w:rPr>
          <w:rFonts w:cstheme="minorHAnsi"/>
          <w:color w:val="1F1F1F"/>
          <w:shd w:val="clear" w:color="auto" w:fill="FFFFFF"/>
        </w:rPr>
        <w:t>SynGAP</w:t>
      </w:r>
      <w:proofErr w:type="spellEnd"/>
      <w:r w:rsidRPr="00CC27D4">
        <w:rPr>
          <w:rFonts w:cstheme="minorHAnsi"/>
          <w:color w:val="1F1F1F"/>
          <w:shd w:val="clear" w:color="auto" w:fill="FFFFFF"/>
        </w:rPr>
        <w:t xml:space="preserve"> Research Fund</w:t>
      </w:r>
    </w:p>
    <w:p w14:paraId="127826F7" w14:textId="77777777" w:rsidR="00CC27D4" w:rsidRPr="00CC27D4" w:rsidRDefault="00CC27D4" w:rsidP="00CC27D4">
      <w:pPr>
        <w:spacing w:after="0" w:line="240" w:lineRule="auto"/>
        <w:rPr>
          <w:rFonts w:cstheme="minorHAnsi"/>
          <w:color w:val="1F1F1F"/>
          <w:shd w:val="clear" w:color="auto" w:fill="FFFFFF"/>
        </w:rPr>
      </w:pPr>
      <w:r w:rsidRPr="00CC27D4">
        <w:rPr>
          <w:rFonts w:cstheme="minorHAnsi"/>
          <w:color w:val="1F1F1F"/>
          <w:shd w:val="clear" w:color="auto" w:fill="FFFFFF"/>
        </w:rPr>
        <w:t>TESS Research Foundation for SLC13A5 Epilepsy</w:t>
      </w:r>
    </w:p>
    <w:p w14:paraId="267B7D0A" w14:textId="77777777" w:rsidR="00CC27D4" w:rsidRPr="00CC27D4" w:rsidRDefault="00CC27D4" w:rsidP="00CC27D4">
      <w:pPr>
        <w:spacing w:after="0" w:line="240" w:lineRule="auto"/>
        <w:rPr>
          <w:rFonts w:cstheme="minorHAnsi"/>
        </w:rPr>
      </w:pPr>
      <w:r w:rsidRPr="00CC27D4">
        <w:rPr>
          <w:rFonts w:cstheme="minorHAnsi"/>
          <w:color w:val="1F1F1F"/>
          <w:shd w:val="clear" w:color="auto" w:fill="FFFFFF"/>
        </w:rPr>
        <w:t>The Anita Kaufmann Foundation</w:t>
      </w:r>
    </w:p>
    <w:p w14:paraId="6A78C205" w14:textId="77777777" w:rsidR="00CC27D4" w:rsidRPr="00CC27D4" w:rsidRDefault="00CC27D4" w:rsidP="00CC27D4">
      <w:pPr>
        <w:spacing w:after="0" w:line="240" w:lineRule="auto"/>
        <w:rPr>
          <w:rFonts w:cstheme="minorHAnsi"/>
        </w:rPr>
      </w:pPr>
      <w:r w:rsidRPr="00CC27D4">
        <w:rPr>
          <w:rFonts w:cstheme="minorHAnsi"/>
          <w:spacing w:val="3"/>
          <w:shd w:val="clear" w:color="auto" w:fill="F8F9FA"/>
        </w:rPr>
        <w:t>The Baker Gordon Syndrome Foundation</w:t>
      </w:r>
    </w:p>
    <w:p w14:paraId="35B82E68" w14:textId="77777777" w:rsidR="00CC27D4" w:rsidRPr="00CC27D4" w:rsidRDefault="00CC27D4" w:rsidP="00CC27D4">
      <w:pPr>
        <w:spacing w:after="0" w:line="240" w:lineRule="auto"/>
        <w:rPr>
          <w:rFonts w:cstheme="minorHAnsi"/>
          <w:shd w:val="clear" w:color="auto" w:fill="FFFFFF"/>
        </w:rPr>
      </w:pPr>
      <w:r w:rsidRPr="00CC27D4">
        <w:rPr>
          <w:rFonts w:cstheme="minorHAnsi"/>
          <w:shd w:val="clear" w:color="auto" w:fill="FFFFFF"/>
        </w:rPr>
        <w:t>The Charlie Foundation for Ketogenic Therapies</w:t>
      </w:r>
    </w:p>
    <w:p w14:paraId="75D91788" w14:textId="77777777" w:rsidR="00CC27D4" w:rsidRPr="00CC27D4" w:rsidRDefault="00CC27D4" w:rsidP="00CC27D4">
      <w:pPr>
        <w:spacing w:after="0" w:line="240" w:lineRule="auto"/>
        <w:rPr>
          <w:rFonts w:cstheme="minorHAnsi"/>
        </w:rPr>
      </w:pPr>
      <w:r w:rsidRPr="00CC27D4">
        <w:rPr>
          <w:rFonts w:cstheme="minorHAnsi"/>
        </w:rPr>
        <w:t xml:space="preserve">The Cute Syndrome Foundation </w:t>
      </w:r>
    </w:p>
    <w:p w14:paraId="2468AEC0" w14:textId="77777777" w:rsidR="00CC27D4" w:rsidRPr="00CC27D4" w:rsidRDefault="00CC27D4" w:rsidP="00CC27D4">
      <w:pPr>
        <w:spacing w:after="0" w:line="240" w:lineRule="auto"/>
        <w:rPr>
          <w:rFonts w:cstheme="minorHAnsi"/>
        </w:rPr>
      </w:pPr>
      <w:r w:rsidRPr="00CC27D4">
        <w:rPr>
          <w:rFonts w:cstheme="minorHAnsi"/>
          <w:shd w:val="clear" w:color="auto" w:fill="FFFFFF"/>
        </w:rPr>
        <w:t>The FamilieSCN2A Foundation</w:t>
      </w:r>
    </w:p>
    <w:p w14:paraId="5F04B66B" w14:textId="77777777" w:rsidR="00CC27D4" w:rsidRPr="00CC27D4" w:rsidRDefault="00CC27D4" w:rsidP="00CC27D4">
      <w:pPr>
        <w:spacing w:after="0" w:line="240" w:lineRule="auto"/>
        <w:rPr>
          <w:rFonts w:cstheme="minorHAnsi"/>
        </w:rPr>
      </w:pPr>
      <w:r w:rsidRPr="00CC27D4">
        <w:rPr>
          <w:rFonts w:cstheme="minorHAnsi"/>
          <w:spacing w:val="3"/>
          <w:shd w:val="clear" w:color="auto" w:fill="F8F9FA"/>
        </w:rPr>
        <w:t>The MED13L Foundation</w:t>
      </w:r>
    </w:p>
    <w:p w14:paraId="52D70953" w14:textId="77777777" w:rsidR="00CC27D4" w:rsidRPr="00CC27D4" w:rsidRDefault="00CC27D4" w:rsidP="00CC27D4">
      <w:pPr>
        <w:spacing w:after="0" w:line="240" w:lineRule="auto"/>
        <w:rPr>
          <w:rFonts w:cstheme="minorHAnsi"/>
        </w:rPr>
      </w:pPr>
      <w:r w:rsidRPr="00CC27D4">
        <w:rPr>
          <w:rFonts w:cstheme="minorHAnsi"/>
          <w:spacing w:val="3"/>
          <w:shd w:val="clear" w:color="auto" w:fill="F8F9FA"/>
        </w:rPr>
        <w:t>The Rory Belle Foundation</w:t>
      </w:r>
    </w:p>
    <w:p w14:paraId="1E8DA8EB" w14:textId="77777777" w:rsidR="00CC27D4" w:rsidRPr="00CC27D4" w:rsidRDefault="00CC27D4" w:rsidP="00CC27D4">
      <w:pPr>
        <w:spacing w:after="0" w:line="240" w:lineRule="auto"/>
        <w:rPr>
          <w:rFonts w:cstheme="minorHAnsi"/>
        </w:rPr>
      </w:pPr>
      <w:r w:rsidRPr="00CC27D4">
        <w:rPr>
          <w:rFonts w:cstheme="minorHAnsi"/>
        </w:rPr>
        <w:t>The SPATA Foundation</w:t>
      </w:r>
    </w:p>
    <w:p w14:paraId="3B960B33" w14:textId="77777777" w:rsidR="00CC27D4" w:rsidRPr="00CC27D4" w:rsidRDefault="00CC27D4" w:rsidP="00CC27D4">
      <w:pPr>
        <w:spacing w:after="0" w:line="240" w:lineRule="auto"/>
        <w:rPr>
          <w:rFonts w:cstheme="minorHAnsi"/>
        </w:rPr>
      </w:pPr>
      <w:r w:rsidRPr="00CC27D4">
        <w:rPr>
          <w:rFonts w:cstheme="minorHAnsi"/>
          <w:shd w:val="clear" w:color="auto" w:fill="FFFFFF"/>
        </w:rPr>
        <w:t>The Sturge-Weber Foundation</w:t>
      </w:r>
    </w:p>
    <w:p w14:paraId="0638767A" w14:textId="77777777" w:rsidR="00CC27D4" w:rsidRPr="00CC27D4" w:rsidRDefault="00CC27D4" w:rsidP="00CC27D4">
      <w:pPr>
        <w:spacing w:after="0" w:line="240" w:lineRule="auto"/>
        <w:rPr>
          <w:rFonts w:cstheme="minorHAnsi"/>
        </w:rPr>
      </w:pPr>
      <w:r w:rsidRPr="00CC27D4">
        <w:rPr>
          <w:rFonts w:cstheme="minorHAnsi"/>
          <w:shd w:val="clear" w:color="auto" w:fill="FFFFFF"/>
        </w:rPr>
        <w:t>THG1L</w:t>
      </w:r>
    </w:p>
    <w:p w14:paraId="3F25DCB8" w14:textId="77777777" w:rsidR="00CC27D4" w:rsidRPr="00CC27D4" w:rsidRDefault="00CC27D4" w:rsidP="00CC27D4">
      <w:pPr>
        <w:spacing w:after="0" w:line="240" w:lineRule="auto"/>
        <w:rPr>
          <w:rFonts w:cstheme="minorHAnsi"/>
        </w:rPr>
      </w:pPr>
      <w:r w:rsidRPr="00CC27D4">
        <w:rPr>
          <w:rFonts w:cstheme="minorHAnsi"/>
        </w:rPr>
        <w:t xml:space="preserve">TSC Alliance </w:t>
      </w:r>
    </w:p>
    <w:p w14:paraId="2A9153BD" w14:textId="77777777" w:rsidR="00CC27D4" w:rsidRPr="00CC27D4" w:rsidRDefault="00CC27D4" w:rsidP="00CC27D4">
      <w:pPr>
        <w:spacing w:after="0" w:line="240" w:lineRule="auto"/>
        <w:rPr>
          <w:rFonts w:cstheme="minorHAnsi"/>
          <w:spacing w:val="3"/>
          <w:shd w:val="clear" w:color="auto" w:fill="F8F9FA"/>
        </w:rPr>
      </w:pPr>
      <w:r w:rsidRPr="00CC27D4">
        <w:rPr>
          <w:rFonts w:cstheme="minorHAnsi"/>
          <w:spacing w:val="3"/>
          <w:shd w:val="clear" w:color="auto" w:fill="F8F9FA"/>
        </w:rPr>
        <w:t>v-ATPase Alliance</w:t>
      </w:r>
    </w:p>
    <w:p w14:paraId="24464BC9" w14:textId="77777777" w:rsidR="00CC27D4" w:rsidRPr="00CC27D4" w:rsidRDefault="00CC27D4" w:rsidP="00CC27D4">
      <w:pPr>
        <w:spacing w:after="0" w:line="240" w:lineRule="auto"/>
        <w:rPr>
          <w:rFonts w:cstheme="minorHAnsi"/>
        </w:rPr>
      </w:pPr>
      <w:r w:rsidRPr="00CC27D4">
        <w:rPr>
          <w:rFonts w:cstheme="minorHAnsi"/>
          <w:color w:val="1F1F1F"/>
          <w:shd w:val="clear" w:color="auto" w:fill="FFFFFF"/>
        </w:rPr>
        <w:t>Yellow for Yiannis IRF2BPL Foundation</w:t>
      </w:r>
    </w:p>
    <w:p w14:paraId="37D6147E" w14:textId="77777777" w:rsidR="00CC27D4" w:rsidRPr="00CC27D4" w:rsidRDefault="00CC27D4" w:rsidP="00CC27D4">
      <w:pPr>
        <w:spacing w:after="0" w:line="240" w:lineRule="auto"/>
        <w:rPr>
          <w:rFonts w:cstheme="minorHAnsi"/>
        </w:rPr>
      </w:pPr>
      <w:r w:rsidRPr="00CC27D4">
        <w:rPr>
          <w:rFonts w:cstheme="minorHAnsi"/>
          <w:shd w:val="clear" w:color="auto" w:fill="FFFFFF"/>
        </w:rPr>
        <w:t>YWHAG Research Foundation</w:t>
      </w:r>
    </w:p>
    <w:p w14:paraId="17DD1C9B" w14:textId="77777777" w:rsidR="0051496A" w:rsidRPr="00917BD9" w:rsidRDefault="0051496A" w:rsidP="009263D5">
      <w:pPr>
        <w:spacing w:after="0" w:line="240" w:lineRule="auto"/>
        <w:rPr>
          <w:rFonts w:cstheme="minorHAnsi"/>
        </w:rPr>
      </w:pPr>
    </w:p>
    <w:p w14:paraId="2DEBC051" w14:textId="77777777" w:rsidR="0051496A" w:rsidRDefault="0051496A" w:rsidP="009263D5">
      <w:pPr>
        <w:spacing w:after="0" w:line="240" w:lineRule="auto"/>
      </w:pPr>
    </w:p>
    <w:p w14:paraId="43E047C3" w14:textId="77777777" w:rsidR="009263D5" w:rsidRDefault="009263D5" w:rsidP="009263D5">
      <w:pPr>
        <w:spacing w:after="0" w:line="240" w:lineRule="auto"/>
      </w:pPr>
      <w:r>
        <w:t>CC:</w:t>
      </w:r>
    </w:p>
    <w:p w14:paraId="0E2DD969" w14:textId="5703CF05" w:rsidR="009263D5" w:rsidRDefault="009263D5" w:rsidP="009263D5">
      <w:pPr>
        <w:spacing w:after="0" w:line="240" w:lineRule="auto"/>
      </w:pPr>
      <w:r>
        <w:t>Sen. Tammy Baldwin</w:t>
      </w:r>
      <w:r w:rsidR="005A0F7F">
        <w:t xml:space="preserve"> (WI)</w:t>
      </w:r>
      <w:r>
        <w:t xml:space="preserve">, </w:t>
      </w:r>
      <w:r w:rsidR="0058533B">
        <w:t>Ranking Member</w:t>
      </w:r>
      <w:r>
        <w:t>, Senate Appropriations Subcommittee on Labor, Health and Human Services, Education and Related Agencies</w:t>
      </w:r>
    </w:p>
    <w:p w14:paraId="0FFA5542" w14:textId="4829C83C" w:rsidR="009263D5" w:rsidRDefault="009263D5" w:rsidP="009263D5">
      <w:pPr>
        <w:spacing w:after="0" w:line="240" w:lineRule="auto"/>
      </w:pPr>
      <w:r>
        <w:t>Sen. John Boozman</w:t>
      </w:r>
      <w:r w:rsidR="00EF26BB">
        <w:t xml:space="preserve"> (AR)</w:t>
      </w:r>
      <w:r>
        <w:t xml:space="preserve">, </w:t>
      </w:r>
      <w:r w:rsidR="005848FA">
        <w:t>Chair</w:t>
      </w:r>
      <w:r>
        <w:t xml:space="preserve">, Senate Appropriations Subcommittee on Military Construction, Veterans Affairs and Related Agencies </w:t>
      </w:r>
    </w:p>
    <w:p w14:paraId="11A57CBA" w14:textId="05F38256" w:rsidR="009263D5" w:rsidRDefault="009263D5" w:rsidP="009263D5">
      <w:pPr>
        <w:spacing w:after="0" w:line="240" w:lineRule="auto"/>
      </w:pPr>
      <w:r>
        <w:t>Sen. Shelley Moore Capito</w:t>
      </w:r>
      <w:r w:rsidR="00EF26BB">
        <w:t xml:space="preserve"> (WV)</w:t>
      </w:r>
      <w:r>
        <w:t xml:space="preserve">, </w:t>
      </w:r>
      <w:r w:rsidR="0058533B">
        <w:t>Chair</w:t>
      </w:r>
      <w:r>
        <w:t>, Senate Appropriations Subcommittee on Labor, Health and Human Services, Education and Related Agencies</w:t>
      </w:r>
    </w:p>
    <w:p w14:paraId="1A228B5F" w14:textId="676FFCF2" w:rsidR="00427F19" w:rsidRPr="00427F19" w:rsidRDefault="00427F19" w:rsidP="009263D5">
      <w:pPr>
        <w:spacing w:after="0" w:line="240" w:lineRule="auto"/>
      </w:pPr>
      <w:r w:rsidRPr="00427F19">
        <w:t>Sen. Chris Coons (DE), R</w:t>
      </w:r>
      <w:r w:rsidRPr="00406B5F">
        <w:t>anking</w:t>
      </w:r>
      <w:r>
        <w:t xml:space="preserve"> Member, Senate Appropriations Subcommittee on Defense</w:t>
      </w:r>
    </w:p>
    <w:p w14:paraId="6E910BC6" w14:textId="77777777" w:rsidR="00BD6939" w:rsidRDefault="00BD6939" w:rsidP="00BD6939">
      <w:pPr>
        <w:spacing w:after="0" w:line="240" w:lineRule="auto"/>
      </w:pPr>
      <w:r>
        <w:t>Sen. Mitch McConnell (KY), Chair, Senate Appropriations Subcommittee on Defense</w:t>
      </w:r>
    </w:p>
    <w:p w14:paraId="3BA567F5" w14:textId="03B03B9E" w:rsidR="008E2F89" w:rsidRDefault="008E2F89" w:rsidP="009263D5">
      <w:pPr>
        <w:spacing w:after="0" w:line="240" w:lineRule="auto"/>
      </w:pPr>
      <w:r>
        <w:t xml:space="preserve">Sen. </w:t>
      </w:r>
      <w:r w:rsidR="005848FA">
        <w:t>Jon Ossoff</w:t>
      </w:r>
      <w:r>
        <w:t xml:space="preserve"> (</w:t>
      </w:r>
      <w:r w:rsidR="00BD6939">
        <w:t>GA</w:t>
      </w:r>
      <w:r w:rsidR="00F151FB">
        <w:t xml:space="preserve">), </w:t>
      </w:r>
      <w:r w:rsidR="005848FA">
        <w:t>Ranking Member</w:t>
      </w:r>
      <w:r w:rsidR="00F151FB">
        <w:t>, Senate Appropriations Subcommittee on Military Construction, Veterans Affairs and Related Agencies</w:t>
      </w:r>
    </w:p>
    <w:p w14:paraId="0AE757B9" w14:textId="2BE447E9" w:rsidR="009263D5" w:rsidRDefault="009263D5" w:rsidP="009263D5">
      <w:pPr>
        <w:spacing w:after="0" w:line="240" w:lineRule="auto"/>
      </w:pPr>
      <w:r>
        <w:t>Rep. Robert Aderholt</w:t>
      </w:r>
      <w:r w:rsidR="00EF26BB">
        <w:t xml:space="preserve"> (AL</w:t>
      </w:r>
      <w:r w:rsidR="004755FF">
        <w:t>-4)</w:t>
      </w:r>
      <w:r>
        <w:t>, Chair, House Appropriations Subcommittee on Labor, Health and Human Services, Education and Related Agencies</w:t>
      </w:r>
    </w:p>
    <w:p w14:paraId="681D116C" w14:textId="29AFB295" w:rsidR="009263D5" w:rsidRDefault="009263D5" w:rsidP="009263D5">
      <w:pPr>
        <w:spacing w:after="0" w:line="240" w:lineRule="auto"/>
      </w:pPr>
      <w:r>
        <w:t>Rep. Ken Calvert</w:t>
      </w:r>
      <w:r w:rsidR="004755FF">
        <w:t xml:space="preserve"> (CA-41)</w:t>
      </w:r>
      <w:r>
        <w:t>, Chair, House Appropriations Subcommittee on Defense</w:t>
      </w:r>
    </w:p>
    <w:p w14:paraId="3E32456F" w14:textId="2079F619" w:rsidR="009263D5" w:rsidRDefault="009263D5" w:rsidP="009263D5">
      <w:pPr>
        <w:spacing w:after="0" w:line="240" w:lineRule="auto"/>
      </w:pPr>
      <w:r>
        <w:t>Rep. John Carter</w:t>
      </w:r>
      <w:r w:rsidR="004369DA">
        <w:t xml:space="preserve"> (TX-31)</w:t>
      </w:r>
      <w:r>
        <w:t xml:space="preserve">, Chair, House Appropriations Subcommittee on Military Construction, Veterans Affairs and Related Agencies </w:t>
      </w:r>
    </w:p>
    <w:p w14:paraId="299E8E10" w14:textId="54BE7140" w:rsidR="009263D5" w:rsidRDefault="009263D5" w:rsidP="009263D5">
      <w:pPr>
        <w:spacing w:after="0" w:line="240" w:lineRule="auto"/>
      </w:pPr>
      <w:r>
        <w:t>Rep. Betty McCollum</w:t>
      </w:r>
      <w:r w:rsidR="004369DA">
        <w:t xml:space="preserve"> (MN-4)</w:t>
      </w:r>
      <w:r>
        <w:t>, Ranking Member, House Appropriations Subcommittee on Defense</w:t>
      </w:r>
    </w:p>
    <w:p w14:paraId="42BCD461" w14:textId="0F2D3E95" w:rsidR="009263D5" w:rsidRDefault="009263D5" w:rsidP="009263D5">
      <w:pPr>
        <w:spacing w:after="0" w:line="240" w:lineRule="auto"/>
      </w:pPr>
      <w:r>
        <w:t>Rep. Debbie Wasserman Schultz</w:t>
      </w:r>
      <w:r w:rsidR="004369DA">
        <w:t xml:space="preserve"> (FL</w:t>
      </w:r>
      <w:r w:rsidR="00776F10">
        <w:t>-25)</w:t>
      </w:r>
      <w:r>
        <w:t xml:space="preserve">, Ranking Member, House Appropriations Subcommittee on Military Construction, Veterans Affairs and Related Agencies </w:t>
      </w:r>
    </w:p>
    <w:p w14:paraId="013F4AC6" w14:textId="77777777" w:rsidR="00780D98" w:rsidRDefault="00780D98" w:rsidP="009263D5">
      <w:pPr>
        <w:spacing w:after="0" w:line="240" w:lineRule="auto"/>
      </w:pPr>
    </w:p>
    <w:sectPr w:rsidR="00780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E140F" w14:textId="77777777" w:rsidR="00A436AF" w:rsidRDefault="00A436AF" w:rsidP="009263D5">
      <w:pPr>
        <w:spacing w:after="0" w:line="240" w:lineRule="auto"/>
      </w:pPr>
      <w:r>
        <w:separator/>
      </w:r>
    </w:p>
  </w:endnote>
  <w:endnote w:type="continuationSeparator" w:id="0">
    <w:p w14:paraId="012A61C8" w14:textId="77777777" w:rsidR="00A436AF" w:rsidRDefault="00A436AF" w:rsidP="009263D5">
      <w:pPr>
        <w:spacing w:after="0" w:line="240" w:lineRule="auto"/>
      </w:pPr>
      <w:r>
        <w:continuationSeparator/>
      </w:r>
    </w:p>
  </w:endnote>
  <w:endnote w:type="continuationNotice" w:id="1">
    <w:p w14:paraId="615116C8" w14:textId="77777777" w:rsidR="00A436AF" w:rsidRDefault="00A436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ok">
    <w:altName w:val="Gotham Book"/>
    <w:panose1 w:val="00000000000000000000"/>
    <w:charset w:val="00"/>
    <w:family w:val="modern"/>
    <w:notTrueType/>
    <w:pitch w:val="variable"/>
    <w:sig w:usb0="A10000FF" w:usb1="4000005B" w:usb2="00000000" w:usb3="00000000" w:csb0="0000009B" w:csb1="00000000"/>
  </w:font>
  <w:font w:name="CIDFont+F2">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FD485" w14:textId="77777777" w:rsidR="00A436AF" w:rsidRDefault="00A436AF" w:rsidP="009263D5">
      <w:pPr>
        <w:spacing w:after="0" w:line="240" w:lineRule="auto"/>
      </w:pPr>
      <w:r>
        <w:separator/>
      </w:r>
    </w:p>
  </w:footnote>
  <w:footnote w:type="continuationSeparator" w:id="0">
    <w:p w14:paraId="02F80604" w14:textId="77777777" w:rsidR="00A436AF" w:rsidRDefault="00A436AF" w:rsidP="009263D5">
      <w:pPr>
        <w:spacing w:after="0" w:line="240" w:lineRule="auto"/>
      </w:pPr>
      <w:r>
        <w:continuationSeparator/>
      </w:r>
    </w:p>
  </w:footnote>
  <w:footnote w:type="continuationNotice" w:id="1">
    <w:p w14:paraId="53834D9E" w14:textId="77777777" w:rsidR="00A436AF" w:rsidRDefault="00A436AF">
      <w:pPr>
        <w:spacing w:after="0" w:line="240" w:lineRule="auto"/>
      </w:pPr>
    </w:p>
  </w:footnote>
  <w:footnote w:id="2">
    <w:p w14:paraId="54539D0F" w14:textId="78A75F83" w:rsidR="00EA51C8" w:rsidRPr="006F0E1F" w:rsidRDefault="00EA51C8" w:rsidP="006F0E1F">
      <w:pPr>
        <w:spacing w:after="0" w:line="240" w:lineRule="auto"/>
        <w:rPr>
          <w:rFonts w:ascii="Calibri" w:hAnsi="Calibri" w:cs="Calibri"/>
        </w:rPr>
      </w:pPr>
      <w:r w:rsidRPr="009263D5">
        <w:rPr>
          <w:rStyle w:val="FootnoteReference"/>
          <w:rFonts w:cstheme="minorHAnsi"/>
        </w:rPr>
        <w:footnoteRef/>
      </w:r>
      <w:r w:rsidRPr="009263D5">
        <w:rPr>
          <w:rFonts w:cstheme="minorHAnsi"/>
        </w:rPr>
        <w:t xml:space="preserve"> </w:t>
      </w:r>
      <w:r w:rsidR="00A358A7" w:rsidRPr="00B15C31">
        <w:rPr>
          <w:rFonts w:ascii="Calibri" w:hAnsi="Calibri" w:cs="Calibri"/>
          <w:sz w:val="20"/>
          <w:szCs w:val="20"/>
        </w:rPr>
        <w:t>Kobau R</w:t>
      </w:r>
      <w:r w:rsidR="000516D2">
        <w:rPr>
          <w:rFonts w:ascii="Calibri" w:hAnsi="Calibri" w:cs="Calibri"/>
          <w:sz w:val="20"/>
          <w:szCs w:val="20"/>
        </w:rPr>
        <w:t>.</w:t>
      </w:r>
      <w:r w:rsidR="00A358A7" w:rsidRPr="00B15C31">
        <w:rPr>
          <w:rFonts w:ascii="Calibri" w:hAnsi="Calibri" w:cs="Calibri"/>
          <w:sz w:val="20"/>
          <w:szCs w:val="20"/>
        </w:rPr>
        <w:t>, Luncheon C</w:t>
      </w:r>
      <w:r w:rsidR="000516D2">
        <w:rPr>
          <w:rFonts w:ascii="Calibri" w:hAnsi="Calibri" w:cs="Calibri"/>
          <w:sz w:val="20"/>
          <w:szCs w:val="20"/>
        </w:rPr>
        <w:t>.</w:t>
      </w:r>
      <w:r w:rsidR="00A358A7" w:rsidRPr="00B15C31">
        <w:rPr>
          <w:rFonts w:ascii="Calibri" w:hAnsi="Calibri" w:cs="Calibri"/>
          <w:sz w:val="20"/>
          <w:szCs w:val="20"/>
        </w:rPr>
        <w:t xml:space="preserve">, Greenlund K. </w:t>
      </w:r>
      <w:r w:rsidR="00B21A5D">
        <w:rPr>
          <w:rFonts w:ascii="Calibri" w:hAnsi="Calibri" w:cs="Calibri"/>
          <w:sz w:val="20"/>
          <w:szCs w:val="20"/>
        </w:rPr>
        <w:t xml:space="preserve">(2024). </w:t>
      </w:r>
      <w:r w:rsidR="00A358A7" w:rsidRPr="00B15C31">
        <w:rPr>
          <w:rFonts w:ascii="Calibri" w:hAnsi="Calibri" w:cs="Calibri"/>
          <w:sz w:val="20"/>
          <w:szCs w:val="20"/>
        </w:rPr>
        <w:t>About 1.5 million community-dwelling US adults with active epilepsy reported uncontrolled seizures in the past 12 months, and seizure control varied by annual family income—National Health Interview Survey, United States 2021 and 2022. </w:t>
      </w:r>
      <w:r w:rsidR="00A358A7" w:rsidRPr="00B15C31">
        <w:rPr>
          <w:rFonts w:ascii="Calibri" w:hAnsi="Calibri" w:cs="Calibri"/>
          <w:i/>
          <w:iCs/>
          <w:sz w:val="20"/>
          <w:szCs w:val="20"/>
        </w:rPr>
        <w:t>Epilepsy Behav</w:t>
      </w:r>
      <w:r w:rsidR="00A358A7" w:rsidRPr="00B15C31">
        <w:rPr>
          <w:rFonts w:ascii="Calibri" w:hAnsi="Calibri" w:cs="Calibri"/>
          <w:sz w:val="20"/>
          <w:szCs w:val="20"/>
        </w:rPr>
        <w:t>. 157:109852. </w:t>
      </w:r>
      <w:hyperlink r:id="rId1" w:tgtFrame="_blank" w:history="1">
        <w:r w:rsidR="00A358A7" w:rsidRPr="00B15C31">
          <w:rPr>
            <w:rStyle w:val="Hyperlink"/>
            <w:rFonts w:ascii="Calibri" w:hAnsi="Calibri" w:cs="Calibri"/>
            <w:sz w:val="20"/>
            <w:szCs w:val="20"/>
          </w:rPr>
          <w:t>doi:https://doi.org/10.1016/j.yebeh.2024.109852</w:t>
        </w:r>
      </w:hyperlink>
      <w:r w:rsidR="00AB5556">
        <w:rPr>
          <w:rFonts w:ascii="Calibri" w:hAnsi="Calibri" w:cs="Calibri"/>
          <w:sz w:val="20"/>
          <w:szCs w:val="20"/>
        </w:rPr>
        <w:t xml:space="preserve">; </w:t>
      </w:r>
      <w:r w:rsidR="00AB5556" w:rsidRPr="00B15C31">
        <w:rPr>
          <w:rFonts w:ascii="Calibri" w:hAnsi="Calibri" w:cs="Calibri"/>
          <w:sz w:val="20"/>
          <w:szCs w:val="20"/>
        </w:rPr>
        <w:t>Data Research Center. 2022 National Survey of Children's Health. Accessed February 2, 2024. </w:t>
      </w:r>
      <w:hyperlink r:id="rId2" w:tgtFrame="_blank" w:history="1">
        <w:r w:rsidR="00AB5556" w:rsidRPr="00B15C31">
          <w:rPr>
            <w:rStyle w:val="Hyperlink"/>
            <w:rFonts w:ascii="Calibri" w:hAnsi="Calibri" w:cs="Calibri"/>
            <w:sz w:val="20"/>
            <w:szCs w:val="20"/>
          </w:rPr>
          <w:t>https://www.childhealthdata.org/browse/survey/results?q=10071&amp;r=1</w:t>
        </w:r>
      </w:hyperlink>
      <w:r w:rsidR="00AB5556">
        <w:rPr>
          <w:rFonts w:ascii="Calibri" w:hAnsi="Calibri" w:cs="Calibri"/>
          <w:sz w:val="20"/>
          <w:szCs w:val="20"/>
        </w:rPr>
        <w:t>.</w:t>
      </w:r>
    </w:p>
  </w:footnote>
  <w:footnote w:id="3">
    <w:p w14:paraId="441B160C" w14:textId="13DE0C2E" w:rsidR="009263D5" w:rsidRPr="009263D5" w:rsidRDefault="009263D5">
      <w:pPr>
        <w:pStyle w:val="FootnoteText"/>
        <w:rPr>
          <w:rFonts w:cstheme="minorHAnsi"/>
        </w:rPr>
      </w:pPr>
      <w:r w:rsidRPr="009263D5">
        <w:rPr>
          <w:rStyle w:val="FootnoteReference"/>
          <w:rFonts w:cstheme="minorHAnsi"/>
        </w:rPr>
        <w:footnoteRef/>
      </w:r>
      <w:r w:rsidRPr="003C3AC1">
        <w:rPr>
          <w:rFonts w:cstheme="minorHAnsi"/>
          <w:lang w:val="nl-NL"/>
        </w:rPr>
        <w:t xml:space="preserve"> </w:t>
      </w:r>
      <w:r w:rsidRPr="003C3AC1">
        <w:rPr>
          <w:rFonts w:cstheme="minorHAnsi"/>
          <w:color w:val="000000"/>
          <w:lang w:val="nl-NL"/>
        </w:rPr>
        <w:t xml:space="preserve">Ho, N.T., Kroner, B., et al. </w:t>
      </w:r>
      <w:r w:rsidRPr="009263D5">
        <w:rPr>
          <w:rFonts w:cstheme="minorHAnsi"/>
          <w:color w:val="000000"/>
        </w:rPr>
        <w:t xml:space="preserve">(2018). Comorbidities of rare epilepsies: Results from the rare epilepsy network. </w:t>
      </w:r>
      <w:r w:rsidRPr="009263D5">
        <w:rPr>
          <w:rFonts w:cstheme="minorHAnsi"/>
          <w:i/>
          <w:color w:val="000000"/>
        </w:rPr>
        <w:t>The Journal of Pediatrics, 203</w:t>
      </w:r>
      <w:r w:rsidRPr="009263D5">
        <w:rPr>
          <w:rFonts w:cstheme="minorHAnsi"/>
          <w:color w:val="000000"/>
        </w:rPr>
        <w:t xml:space="preserve">, 249-258. </w:t>
      </w:r>
      <w:hyperlink r:id="rId3">
        <w:r w:rsidRPr="009263D5">
          <w:rPr>
            <w:rFonts w:cstheme="minorHAnsi"/>
            <w:color w:val="0563C1"/>
            <w:u w:val="single"/>
          </w:rPr>
          <w:t>https://doi.org/10.1016/j.jpeds.2018.07.055</w:t>
        </w:r>
      </w:hyperlink>
      <w:r w:rsidRPr="009263D5">
        <w:rPr>
          <w:rFonts w:cstheme="minorHAnsi"/>
          <w:color w:val="000000"/>
        </w:rPr>
        <w:t xml:space="preserve">.  </w:t>
      </w:r>
    </w:p>
  </w:footnote>
  <w:footnote w:id="4">
    <w:p w14:paraId="44737BB2" w14:textId="7BA21A7D" w:rsidR="000516D2" w:rsidRPr="000516D2" w:rsidRDefault="000516D2">
      <w:pPr>
        <w:pStyle w:val="FootnoteText"/>
      </w:pPr>
      <w:r>
        <w:rPr>
          <w:rStyle w:val="FootnoteReference"/>
        </w:rPr>
        <w:footnoteRef/>
      </w:r>
      <w:r w:rsidRPr="000516D2">
        <w:t xml:space="preserve"> Devinsky, O., Spruill, T., T</w:t>
      </w:r>
      <w:r w:rsidRPr="008800E1">
        <w:t>hu</w:t>
      </w:r>
      <w:r>
        <w:t xml:space="preserve">rman, D., &amp; Friedman, D. </w:t>
      </w:r>
      <w:r w:rsidR="00B21A5D">
        <w:t xml:space="preserve">(2016). </w:t>
      </w:r>
      <w:r>
        <w:t xml:space="preserve">Recognizing and preventing epilepsy-related mortality: A call for action. </w:t>
      </w:r>
      <w:r>
        <w:rPr>
          <w:i/>
          <w:iCs/>
        </w:rPr>
        <w:t xml:space="preserve">Neurology, 86(8), </w:t>
      </w:r>
      <w:r>
        <w:t xml:space="preserve">779-786. </w:t>
      </w:r>
      <w:hyperlink r:id="rId4" w:history="1">
        <w:r w:rsidRPr="008800E1">
          <w:rPr>
            <w:rStyle w:val="Hyperlink"/>
          </w:rPr>
          <w:t>https://doi.org/10.1212/WNL.0000000000002253</w:t>
        </w:r>
      </w:hyperlink>
      <w:r>
        <w:t>.</w:t>
      </w:r>
    </w:p>
  </w:footnote>
  <w:footnote w:id="5">
    <w:p w14:paraId="5E90429B" w14:textId="0C70C007" w:rsidR="009263D5" w:rsidRPr="009263D5" w:rsidRDefault="009263D5">
      <w:pPr>
        <w:pStyle w:val="FootnoteText"/>
        <w:rPr>
          <w:rFonts w:cstheme="minorHAnsi"/>
        </w:rPr>
      </w:pPr>
      <w:r w:rsidRPr="009263D5">
        <w:rPr>
          <w:rStyle w:val="FootnoteReference"/>
          <w:rFonts w:cstheme="minorHAnsi"/>
        </w:rPr>
        <w:footnoteRef/>
      </w:r>
      <w:r w:rsidRPr="009263D5">
        <w:rPr>
          <w:rFonts w:cstheme="minorHAnsi"/>
        </w:rPr>
        <w:t xml:space="preserve"> Thurman, D.J., </w:t>
      </w:r>
      <w:proofErr w:type="spellStart"/>
      <w:r w:rsidRPr="009263D5">
        <w:rPr>
          <w:rFonts w:cstheme="minorHAnsi"/>
        </w:rPr>
        <w:t>Hesdorffer</w:t>
      </w:r>
      <w:proofErr w:type="spellEnd"/>
      <w:r w:rsidRPr="009263D5">
        <w:rPr>
          <w:rFonts w:cstheme="minorHAnsi"/>
        </w:rPr>
        <w:t xml:space="preserve">, D.C. &amp; French, J. (2014). Sudden unexpected death in epilepsy: Assessing the public health burden. </w:t>
      </w:r>
      <w:r w:rsidRPr="009263D5">
        <w:rPr>
          <w:rFonts w:cstheme="minorHAnsi"/>
          <w:i/>
        </w:rPr>
        <w:t xml:space="preserve">Epilepsia, 55(10), </w:t>
      </w:r>
      <w:r w:rsidRPr="009263D5">
        <w:rPr>
          <w:rFonts w:cstheme="minorHAnsi"/>
        </w:rPr>
        <w:t xml:space="preserve">1479-1485. </w:t>
      </w:r>
      <w:r w:rsidRPr="009263D5">
        <w:rPr>
          <w:rFonts w:cstheme="minorHAnsi"/>
          <w:color w:val="767676"/>
          <w:highlight w:val="white"/>
        </w:rPr>
        <w:t> </w:t>
      </w:r>
      <w:hyperlink r:id="rId5">
        <w:r w:rsidRPr="009263D5">
          <w:rPr>
            <w:rFonts w:cstheme="minorHAnsi"/>
            <w:b/>
            <w:color w:val="0563C1"/>
            <w:u w:val="single"/>
          </w:rPr>
          <w:t>https://doi.org/10.1111/epi.12666</w:t>
        </w:r>
      </w:hyperlink>
      <w:r w:rsidRPr="009263D5">
        <w:rPr>
          <w:rFonts w:cstheme="minorHAnsi"/>
          <w:color w:val="767676"/>
        </w:rPr>
        <w:t xml:space="preserve">. </w:t>
      </w:r>
      <w:r w:rsidRPr="009263D5">
        <w:rPr>
          <w:rFonts w:cstheme="minorHAnsi"/>
        </w:rPr>
        <w:t xml:space="preserve">Keller, A.E., Whitney, R., et al. (2018). Incidence of sudden unexpected death in epilepsy in children is </w:t>
      </w:r>
      <w:proofErr w:type="gramStart"/>
      <w:r w:rsidRPr="009263D5">
        <w:rPr>
          <w:rFonts w:cstheme="minorHAnsi"/>
        </w:rPr>
        <w:t>similar to</w:t>
      </w:r>
      <w:proofErr w:type="gramEnd"/>
      <w:r w:rsidRPr="009263D5">
        <w:rPr>
          <w:rFonts w:cstheme="minorHAnsi"/>
        </w:rPr>
        <w:t xml:space="preserve"> adults. </w:t>
      </w:r>
      <w:r w:rsidRPr="009263D5">
        <w:rPr>
          <w:rFonts w:cstheme="minorHAnsi"/>
          <w:i/>
        </w:rPr>
        <w:t xml:space="preserve">Neurology, 91(2), </w:t>
      </w:r>
      <w:r w:rsidRPr="009263D5">
        <w:rPr>
          <w:rFonts w:cstheme="minorHAnsi"/>
        </w:rPr>
        <w:t>e107-e111. DOI: </w:t>
      </w:r>
      <w:hyperlink r:id="rId6">
        <w:r w:rsidRPr="009263D5">
          <w:rPr>
            <w:rFonts w:cstheme="minorHAnsi"/>
            <w:color w:val="205493"/>
          </w:rPr>
          <w:t>10.1212/WNL.0000000000005762</w:t>
        </w:r>
      </w:hyperlink>
      <w:r w:rsidRPr="009263D5">
        <w:rPr>
          <w:rFonts w:cstheme="minorHAnsi"/>
          <w:color w:val="212121"/>
        </w:rPr>
        <w:t>.</w:t>
      </w:r>
    </w:p>
  </w:footnote>
  <w:footnote w:id="6">
    <w:p w14:paraId="73E79B93" w14:textId="6A044452" w:rsidR="000516D2" w:rsidRDefault="000516D2">
      <w:pPr>
        <w:pStyle w:val="FootnoteText"/>
      </w:pPr>
      <w:r>
        <w:rPr>
          <w:rStyle w:val="FootnoteReference"/>
        </w:rPr>
        <w:footnoteRef/>
      </w:r>
      <w:r>
        <w:t xml:space="preserve"> </w:t>
      </w:r>
      <w:r>
        <w:rPr>
          <w:i/>
          <w:iCs/>
        </w:rPr>
        <w:t>Ibid.</w:t>
      </w:r>
    </w:p>
  </w:footnote>
  <w:footnote w:id="7">
    <w:p w14:paraId="26332DC1" w14:textId="0083D086" w:rsidR="009263D5" w:rsidRPr="009263D5" w:rsidRDefault="009263D5">
      <w:pPr>
        <w:pStyle w:val="FootnoteText"/>
        <w:rPr>
          <w:rFonts w:cstheme="minorHAnsi"/>
        </w:rPr>
      </w:pPr>
      <w:r>
        <w:rPr>
          <w:rStyle w:val="FootnoteReference"/>
        </w:rPr>
        <w:footnoteRef/>
      </w:r>
      <w:bookmarkStart w:id="0" w:name="_Hlk133500371"/>
      <w:r w:rsidR="000516D2">
        <w:rPr>
          <w:rFonts w:cstheme="minorHAnsi"/>
          <w:color w:val="0563C1"/>
          <w:highlight w:val="white"/>
          <w:u w:val="single"/>
        </w:rPr>
        <w:fldChar w:fldCharType="begin"/>
      </w:r>
      <w:r w:rsidR="00B21A5D">
        <w:rPr>
          <w:rFonts w:cstheme="minorHAnsi"/>
          <w:color w:val="0563C1"/>
          <w:highlight w:val="white"/>
          <w:u w:val="single"/>
        </w:rPr>
        <w:instrText>HYPERLINK "C:\\Users\\WeidnerLaura\\AppData\\Local\\Microsoft\\Windows\\INetCache\\Content.Outlook\\EUMNLSXD\\Tian"</w:instrText>
      </w:r>
      <w:r w:rsidR="000516D2">
        <w:rPr>
          <w:rFonts w:cstheme="minorHAnsi"/>
          <w:color w:val="0563C1"/>
          <w:highlight w:val="white"/>
          <w:u w:val="single"/>
        </w:rPr>
      </w:r>
      <w:r w:rsidR="000516D2">
        <w:rPr>
          <w:rFonts w:cstheme="minorHAnsi"/>
          <w:color w:val="0563C1"/>
          <w:highlight w:val="white"/>
          <w:u w:val="single"/>
        </w:rPr>
        <w:fldChar w:fldCharType="separate"/>
      </w:r>
      <w:r w:rsidR="000516D2" w:rsidRPr="00ED0BF6">
        <w:rPr>
          <w:rStyle w:val="Hyperlink"/>
        </w:rPr>
        <w:t>Tian</w:t>
      </w:r>
      <w:r w:rsidR="000516D2">
        <w:rPr>
          <w:rFonts w:cstheme="minorHAnsi"/>
          <w:color w:val="0563C1"/>
          <w:highlight w:val="white"/>
          <w:u w:val="single"/>
        </w:rPr>
        <w:fldChar w:fldCharType="end"/>
      </w:r>
      <w:r w:rsidR="000516D2">
        <w:t xml:space="preserve">, N., Kobau, R., Friedman, D., Liu, Y., Eke, P., &amp; Greenlund, K.J. (2024). Mortality and mortality disparities among people with epilepsy in the United States, 2011-2021. </w:t>
      </w:r>
      <w:r w:rsidR="000516D2">
        <w:rPr>
          <w:i/>
          <w:iCs/>
        </w:rPr>
        <w:t>Epilepsy Behav., 155</w:t>
      </w:r>
      <w:r w:rsidR="000516D2">
        <w:t xml:space="preserve">, 109770. </w:t>
      </w:r>
      <w:proofErr w:type="gramStart"/>
      <w:r w:rsidR="00B21A5D" w:rsidRPr="00B21A5D">
        <w:t>doi:10.1016/j.yebeh</w:t>
      </w:r>
      <w:proofErr w:type="gramEnd"/>
      <w:r w:rsidR="00B21A5D" w:rsidRPr="00B21A5D">
        <w:t>.2024.109770</w:t>
      </w:r>
      <w:r w:rsidRPr="009263D5">
        <w:rPr>
          <w:rFonts w:cstheme="minorHAnsi"/>
          <w:color w:val="212121"/>
          <w:highlight w:val="white"/>
        </w:rPr>
        <w:t>.</w:t>
      </w:r>
      <w:bookmarkEnd w:id="0"/>
    </w:p>
  </w:footnote>
  <w:footnote w:id="8">
    <w:p w14:paraId="33D44959" w14:textId="27EF2475" w:rsidR="009263D5" w:rsidRPr="009263D5" w:rsidRDefault="009263D5">
      <w:pPr>
        <w:pStyle w:val="FootnoteText"/>
        <w:rPr>
          <w:rFonts w:cstheme="minorHAnsi"/>
        </w:rPr>
      </w:pPr>
      <w:r w:rsidRPr="009263D5">
        <w:rPr>
          <w:rStyle w:val="FootnoteReference"/>
          <w:rFonts w:cstheme="minorHAnsi"/>
        </w:rPr>
        <w:footnoteRef/>
      </w:r>
      <w:r w:rsidRPr="009263D5">
        <w:rPr>
          <w:rFonts w:cstheme="minorHAnsi"/>
        </w:rPr>
        <w:t xml:space="preserve"> </w:t>
      </w:r>
      <w:r w:rsidRPr="009263D5">
        <w:rPr>
          <w:rFonts w:cstheme="minorHAnsi"/>
          <w:color w:val="000000"/>
        </w:rPr>
        <w:t xml:space="preserve">Moura, L.M.V.R., </w:t>
      </w:r>
      <w:proofErr w:type="spellStart"/>
      <w:r w:rsidRPr="009263D5">
        <w:rPr>
          <w:rFonts w:cstheme="minorHAnsi"/>
          <w:color w:val="000000"/>
        </w:rPr>
        <w:t>Karakis</w:t>
      </w:r>
      <w:proofErr w:type="spellEnd"/>
      <w:r w:rsidRPr="009263D5">
        <w:rPr>
          <w:rFonts w:cstheme="minorHAnsi"/>
          <w:color w:val="000000"/>
        </w:rPr>
        <w:t xml:space="preserve">, I., Zack, M.M., Tian, N., Kobau, R., &amp; Howard, D. (2022). Drivers of U.S. health care spending for persons with seizures and/or epilepsies, 2010–2018. </w:t>
      </w:r>
      <w:r w:rsidRPr="009263D5">
        <w:rPr>
          <w:rFonts w:cstheme="minorHAnsi"/>
          <w:i/>
          <w:color w:val="000000"/>
        </w:rPr>
        <w:t>Epilepsia, 63(8),</w:t>
      </w:r>
      <w:r w:rsidRPr="009263D5">
        <w:rPr>
          <w:rFonts w:cstheme="minorHAnsi"/>
          <w:color w:val="000000"/>
        </w:rPr>
        <w:t xml:space="preserve"> 2144–2154. doi:10.1111/epi.17305.</w:t>
      </w:r>
    </w:p>
  </w:footnote>
  <w:footnote w:id="9">
    <w:p w14:paraId="130764D2" w14:textId="77777777" w:rsidR="009263D5" w:rsidRPr="009263D5" w:rsidRDefault="009263D5" w:rsidP="009263D5">
      <w:pPr>
        <w:rPr>
          <w:rFonts w:cstheme="minorHAnsi"/>
          <w:sz w:val="20"/>
          <w:szCs w:val="20"/>
        </w:rPr>
      </w:pPr>
      <w:r w:rsidRPr="009263D5">
        <w:rPr>
          <w:rStyle w:val="FootnoteReference"/>
          <w:rFonts w:cstheme="minorHAnsi"/>
          <w:sz w:val="20"/>
          <w:szCs w:val="20"/>
        </w:rPr>
        <w:footnoteRef/>
      </w:r>
      <w:r w:rsidRPr="009263D5">
        <w:rPr>
          <w:rFonts w:cstheme="minorHAnsi"/>
          <w:sz w:val="20"/>
          <w:szCs w:val="20"/>
        </w:rPr>
        <w:t xml:space="preserve"> </w:t>
      </w:r>
      <w:r w:rsidRPr="009263D5">
        <w:rPr>
          <w:rFonts w:eastAsia="CIDFont+F2" w:cstheme="minorHAnsi"/>
          <w:sz w:val="20"/>
          <w:szCs w:val="20"/>
        </w:rPr>
        <w:t xml:space="preserve">hen, Z. et al. (2018). Treatment Outcomes in Patients with Newly Diagnosed Epilepsy Treated </w:t>
      </w:r>
      <w:proofErr w:type="gramStart"/>
      <w:r w:rsidRPr="009263D5">
        <w:rPr>
          <w:rFonts w:eastAsia="CIDFont+F2" w:cstheme="minorHAnsi"/>
          <w:sz w:val="20"/>
          <w:szCs w:val="20"/>
        </w:rPr>
        <w:t>With</w:t>
      </w:r>
      <w:proofErr w:type="gramEnd"/>
      <w:r w:rsidRPr="009263D5">
        <w:rPr>
          <w:rFonts w:eastAsia="CIDFont+F2" w:cstheme="minorHAnsi"/>
          <w:sz w:val="20"/>
          <w:szCs w:val="20"/>
        </w:rPr>
        <w:t xml:space="preserve"> Established and New Antiepileptic Drugs A 30-Year Longitudinal Cohort Study.</w:t>
      </w:r>
      <w:r w:rsidRPr="009263D5">
        <w:rPr>
          <w:rFonts w:eastAsia="CIDFont+F2" w:cstheme="minorHAnsi"/>
          <w:i/>
          <w:sz w:val="20"/>
          <w:szCs w:val="20"/>
        </w:rPr>
        <w:t xml:space="preserve"> JAMA Neurology, 75(3), </w:t>
      </w:r>
      <w:r w:rsidRPr="009263D5">
        <w:rPr>
          <w:rFonts w:cstheme="minorHAnsi"/>
          <w:sz w:val="20"/>
          <w:szCs w:val="20"/>
        </w:rPr>
        <w:t xml:space="preserve">279-286. </w:t>
      </w:r>
      <w:proofErr w:type="spellStart"/>
      <w:r w:rsidRPr="009263D5">
        <w:rPr>
          <w:rFonts w:cstheme="minorHAnsi"/>
          <w:sz w:val="20"/>
          <w:szCs w:val="20"/>
          <w:highlight w:val="white"/>
        </w:rPr>
        <w:t>doi</w:t>
      </w:r>
      <w:proofErr w:type="spellEnd"/>
      <w:r w:rsidRPr="009263D5">
        <w:rPr>
          <w:rFonts w:cstheme="minorHAnsi"/>
          <w:sz w:val="20"/>
          <w:szCs w:val="20"/>
          <w:highlight w:val="white"/>
        </w:rPr>
        <w:t>: 10.1001/jamaneurol.2017.3949.</w:t>
      </w:r>
    </w:p>
    <w:p w14:paraId="216F2D96" w14:textId="1DB387DC" w:rsidR="009263D5" w:rsidRDefault="009263D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1D8D"/>
    <w:multiLevelType w:val="hybridMultilevel"/>
    <w:tmpl w:val="F062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64E12"/>
    <w:multiLevelType w:val="hybridMultilevel"/>
    <w:tmpl w:val="B5E8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6596A"/>
    <w:multiLevelType w:val="hybridMultilevel"/>
    <w:tmpl w:val="C4E292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5F103022"/>
    <w:multiLevelType w:val="hybridMultilevel"/>
    <w:tmpl w:val="39222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B76CC"/>
    <w:multiLevelType w:val="hybridMultilevel"/>
    <w:tmpl w:val="1CA2D19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F21494"/>
    <w:multiLevelType w:val="hybridMultilevel"/>
    <w:tmpl w:val="DB46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845464">
    <w:abstractNumId w:val="0"/>
  </w:num>
  <w:num w:numId="2" w16cid:durableId="610671553">
    <w:abstractNumId w:val="3"/>
  </w:num>
  <w:num w:numId="3" w16cid:durableId="614404882">
    <w:abstractNumId w:val="2"/>
  </w:num>
  <w:num w:numId="4" w16cid:durableId="1245216759">
    <w:abstractNumId w:val="4"/>
  </w:num>
  <w:num w:numId="5" w16cid:durableId="351806872">
    <w:abstractNumId w:val="5"/>
  </w:num>
  <w:num w:numId="6" w16cid:durableId="812602947">
    <w:abstractNumId w:val="1"/>
  </w:num>
  <w:num w:numId="7" w16cid:durableId="64186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D5"/>
    <w:rsid w:val="000020DA"/>
    <w:rsid w:val="00003A0A"/>
    <w:rsid w:val="000124A6"/>
    <w:rsid w:val="00013718"/>
    <w:rsid w:val="00023C9F"/>
    <w:rsid w:val="000516D2"/>
    <w:rsid w:val="0006583A"/>
    <w:rsid w:val="0007715E"/>
    <w:rsid w:val="000918FC"/>
    <w:rsid w:val="00097ECE"/>
    <w:rsid w:val="000B72DB"/>
    <w:rsid w:val="000C25B8"/>
    <w:rsid w:val="000C7483"/>
    <w:rsid w:val="000D5952"/>
    <w:rsid w:val="000E0977"/>
    <w:rsid w:val="000E6B30"/>
    <w:rsid w:val="000F402B"/>
    <w:rsid w:val="001041A1"/>
    <w:rsid w:val="00107AAB"/>
    <w:rsid w:val="00114B4B"/>
    <w:rsid w:val="001214E5"/>
    <w:rsid w:val="00122E58"/>
    <w:rsid w:val="00144F70"/>
    <w:rsid w:val="0015376A"/>
    <w:rsid w:val="00153CA8"/>
    <w:rsid w:val="00157956"/>
    <w:rsid w:val="00165CBD"/>
    <w:rsid w:val="00171D80"/>
    <w:rsid w:val="00177182"/>
    <w:rsid w:val="00194267"/>
    <w:rsid w:val="00197AD9"/>
    <w:rsid w:val="001A4642"/>
    <w:rsid w:val="001A576B"/>
    <w:rsid w:val="001A5771"/>
    <w:rsid w:val="001B09F7"/>
    <w:rsid w:val="001C37C5"/>
    <w:rsid w:val="001C4215"/>
    <w:rsid w:val="001D0FB9"/>
    <w:rsid w:val="001D666E"/>
    <w:rsid w:val="001E121D"/>
    <w:rsid w:val="001E5592"/>
    <w:rsid w:val="002040C3"/>
    <w:rsid w:val="002054B7"/>
    <w:rsid w:val="002219C7"/>
    <w:rsid w:val="002228DE"/>
    <w:rsid w:val="0023689F"/>
    <w:rsid w:val="00241070"/>
    <w:rsid w:val="00243740"/>
    <w:rsid w:val="00247639"/>
    <w:rsid w:val="00250455"/>
    <w:rsid w:val="00250CB2"/>
    <w:rsid w:val="00254432"/>
    <w:rsid w:val="002632E9"/>
    <w:rsid w:val="00267EEA"/>
    <w:rsid w:val="00283446"/>
    <w:rsid w:val="0028688E"/>
    <w:rsid w:val="002A0391"/>
    <w:rsid w:val="002A07B1"/>
    <w:rsid w:val="002A38E0"/>
    <w:rsid w:val="002B270D"/>
    <w:rsid w:val="002B5C9A"/>
    <w:rsid w:val="002C6BC1"/>
    <w:rsid w:val="002D1664"/>
    <w:rsid w:val="002E435A"/>
    <w:rsid w:val="00311B09"/>
    <w:rsid w:val="0032436B"/>
    <w:rsid w:val="003302BD"/>
    <w:rsid w:val="00337316"/>
    <w:rsid w:val="003448CD"/>
    <w:rsid w:val="003635CE"/>
    <w:rsid w:val="0037633E"/>
    <w:rsid w:val="003810DD"/>
    <w:rsid w:val="003814DD"/>
    <w:rsid w:val="003922FE"/>
    <w:rsid w:val="00393872"/>
    <w:rsid w:val="00395818"/>
    <w:rsid w:val="003A244B"/>
    <w:rsid w:val="003A28BB"/>
    <w:rsid w:val="003B4170"/>
    <w:rsid w:val="003C0055"/>
    <w:rsid w:val="003C3AC1"/>
    <w:rsid w:val="003C46BB"/>
    <w:rsid w:val="003C5FE4"/>
    <w:rsid w:val="003E2E9F"/>
    <w:rsid w:val="003F57BE"/>
    <w:rsid w:val="003F7878"/>
    <w:rsid w:val="004032D8"/>
    <w:rsid w:val="0040441C"/>
    <w:rsid w:val="00406B5F"/>
    <w:rsid w:val="00407F62"/>
    <w:rsid w:val="0041482A"/>
    <w:rsid w:val="004253AE"/>
    <w:rsid w:val="00427F19"/>
    <w:rsid w:val="004353E3"/>
    <w:rsid w:val="004369DA"/>
    <w:rsid w:val="00441122"/>
    <w:rsid w:val="00445B24"/>
    <w:rsid w:val="00455A96"/>
    <w:rsid w:val="00457E05"/>
    <w:rsid w:val="00461219"/>
    <w:rsid w:val="00462A10"/>
    <w:rsid w:val="00464DC6"/>
    <w:rsid w:val="004706F7"/>
    <w:rsid w:val="00472B6A"/>
    <w:rsid w:val="004755FF"/>
    <w:rsid w:val="00476D34"/>
    <w:rsid w:val="00480CBB"/>
    <w:rsid w:val="00487C95"/>
    <w:rsid w:val="00491D80"/>
    <w:rsid w:val="0049234F"/>
    <w:rsid w:val="00494CAB"/>
    <w:rsid w:val="00496C5B"/>
    <w:rsid w:val="004A4D5F"/>
    <w:rsid w:val="004B6E38"/>
    <w:rsid w:val="004C3BA9"/>
    <w:rsid w:val="004D4736"/>
    <w:rsid w:val="004D4BB1"/>
    <w:rsid w:val="004D56E5"/>
    <w:rsid w:val="004E2FC4"/>
    <w:rsid w:val="004E5262"/>
    <w:rsid w:val="004E74E6"/>
    <w:rsid w:val="004F313E"/>
    <w:rsid w:val="00507718"/>
    <w:rsid w:val="00512173"/>
    <w:rsid w:val="0051496A"/>
    <w:rsid w:val="00521085"/>
    <w:rsid w:val="00525B79"/>
    <w:rsid w:val="00525EB8"/>
    <w:rsid w:val="00530978"/>
    <w:rsid w:val="005376B9"/>
    <w:rsid w:val="00537B68"/>
    <w:rsid w:val="005465C9"/>
    <w:rsid w:val="00547559"/>
    <w:rsid w:val="00560D7A"/>
    <w:rsid w:val="00574193"/>
    <w:rsid w:val="00574EDC"/>
    <w:rsid w:val="00576551"/>
    <w:rsid w:val="005848FA"/>
    <w:rsid w:val="0058533B"/>
    <w:rsid w:val="00590447"/>
    <w:rsid w:val="005946BF"/>
    <w:rsid w:val="00594ABE"/>
    <w:rsid w:val="005A0F7F"/>
    <w:rsid w:val="005C25BF"/>
    <w:rsid w:val="005E0C07"/>
    <w:rsid w:val="005E4E31"/>
    <w:rsid w:val="005E7552"/>
    <w:rsid w:val="00600153"/>
    <w:rsid w:val="00614227"/>
    <w:rsid w:val="006323AC"/>
    <w:rsid w:val="006526AA"/>
    <w:rsid w:val="006600E9"/>
    <w:rsid w:val="0067589D"/>
    <w:rsid w:val="00691A0A"/>
    <w:rsid w:val="00695137"/>
    <w:rsid w:val="006A0972"/>
    <w:rsid w:val="006C045D"/>
    <w:rsid w:val="006D124D"/>
    <w:rsid w:val="006E2C49"/>
    <w:rsid w:val="006E460E"/>
    <w:rsid w:val="006E60AF"/>
    <w:rsid w:val="006F0E1F"/>
    <w:rsid w:val="006F3B49"/>
    <w:rsid w:val="006F4130"/>
    <w:rsid w:val="00704E7C"/>
    <w:rsid w:val="00715291"/>
    <w:rsid w:val="007240F7"/>
    <w:rsid w:val="00725768"/>
    <w:rsid w:val="00750AAF"/>
    <w:rsid w:val="00751BC6"/>
    <w:rsid w:val="007561AC"/>
    <w:rsid w:val="0075790B"/>
    <w:rsid w:val="00771CD0"/>
    <w:rsid w:val="0077554D"/>
    <w:rsid w:val="00776F10"/>
    <w:rsid w:val="00780D98"/>
    <w:rsid w:val="00787B19"/>
    <w:rsid w:val="007A59F4"/>
    <w:rsid w:val="007A6499"/>
    <w:rsid w:val="007C084F"/>
    <w:rsid w:val="007C344A"/>
    <w:rsid w:val="007C397B"/>
    <w:rsid w:val="007C7560"/>
    <w:rsid w:val="007C7B12"/>
    <w:rsid w:val="007E6931"/>
    <w:rsid w:val="007F08D5"/>
    <w:rsid w:val="007F6CBE"/>
    <w:rsid w:val="008052FC"/>
    <w:rsid w:val="008121B6"/>
    <w:rsid w:val="008154C9"/>
    <w:rsid w:val="0083543D"/>
    <w:rsid w:val="0084007E"/>
    <w:rsid w:val="008635EA"/>
    <w:rsid w:val="00871789"/>
    <w:rsid w:val="0087364B"/>
    <w:rsid w:val="00874D1D"/>
    <w:rsid w:val="008800E1"/>
    <w:rsid w:val="008871D2"/>
    <w:rsid w:val="008A45A9"/>
    <w:rsid w:val="008C1B60"/>
    <w:rsid w:val="008D13BC"/>
    <w:rsid w:val="008D34C1"/>
    <w:rsid w:val="008E0C74"/>
    <w:rsid w:val="008E2F89"/>
    <w:rsid w:val="008E42C3"/>
    <w:rsid w:val="008E5111"/>
    <w:rsid w:val="008E6E95"/>
    <w:rsid w:val="009170B7"/>
    <w:rsid w:val="00917BD9"/>
    <w:rsid w:val="00921438"/>
    <w:rsid w:val="0092445B"/>
    <w:rsid w:val="00925A7B"/>
    <w:rsid w:val="009263D5"/>
    <w:rsid w:val="00930113"/>
    <w:rsid w:val="00937FCD"/>
    <w:rsid w:val="00940772"/>
    <w:rsid w:val="0095701A"/>
    <w:rsid w:val="00970C97"/>
    <w:rsid w:val="00971524"/>
    <w:rsid w:val="00975C9F"/>
    <w:rsid w:val="00977EB6"/>
    <w:rsid w:val="009945A8"/>
    <w:rsid w:val="00996527"/>
    <w:rsid w:val="009B12AD"/>
    <w:rsid w:val="009C3087"/>
    <w:rsid w:val="009C3575"/>
    <w:rsid w:val="009D102F"/>
    <w:rsid w:val="009D7C6F"/>
    <w:rsid w:val="009E50AF"/>
    <w:rsid w:val="009F4B5B"/>
    <w:rsid w:val="009F4BAF"/>
    <w:rsid w:val="00A01E31"/>
    <w:rsid w:val="00A127CE"/>
    <w:rsid w:val="00A16F84"/>
    <w:rsid w:val="00A17E30"/>
    <w:rsid w:val="00A321E7"/>
    <w:rsid w:val="00A3253C"/>
    <w:rsid w:val="00A358A7"/>
    <w:rsid w:val="00A436AF"/>
    <w:rsid w:val="00A50FBF"/>
    <w:rsid w:val="00A673C1"/>
    <w:rsid w:val="00A803F3"/>
    <w:rsid w:val="00A83CC8"/>
    <w:rsid w:val="00A87092"/>
    <w:rsid w:val="00A87CDD"/>
    <w:rsid w:val="00A92843"/>
    <w:rsid w:val="00AA6D3E"/>
    <w:rsid w:val="00AB5556"/>
    <w:rsid w:val="00AB79FA"/>
    <w:rsid w:val="00AC5FAE"/>
    <w:rsid w:val="00AD0062"/>
    <w:rsid w:val="00AD06C8"/>
    <w:rsid w:val="00AD2665"/>
    <w:rsid w:val="00AE3BD1"/>
    <w:rsid w:val="00B06358"/>
    <w:rsid w:val="00B11213"/>
    <w:rsid w:val="00B21A5D"/>
    <w:rsid w:val="00B22C8B"/>
    <w:rsid w:val="00B4646E"/>
    <w:rsid w:val="00B51C2F"/>
    <w:rsid w:val="00B55568"/>
    <w:rsid w:val="00B66BA4"/>
    <w:rsid w:val="00B70582"/>
    <w:rsid w:val="00BA155D"/>
    <w:rsid w:val="00BB0F59"/>
    <w:rsid w:val="00BB5206"/>
    <w:rsid w:val="00BB665E"/>
    <w:rsid w:val="00BB71FE"/>
    <w:rsid w:val="00BC0C91"/>
    <w:rsid w:val="00BD44EB"/>
    <w:rsid w:val="00BD6939"/>
    <w:rsid w:val="00BD6E7A"/>
    <w:rsid w:val="00BE3151"/>
    <w:rsid w:val="00BF79B3"/>
    <w:rsid w:val="00C109BF"/>
    <w:rsid w:val="00C21DD5"/>
    <w:rsid w:val="00C269E6"/>
    <w:rsid w:val="00C43690"/>
    <w:rsid w:val="00C44833"/>
    <w:rsid w:val="00C4779C"/>
    <w:rsid w:val="00C52DDE"/>
    <w:rsid w:val="00C60129"/>
    <w:rsid w:val="00C71753"/>
    <w:rsid w:val="00C7424D"/>
    <w:rsid w:val="00C77854"/>
    <w:rsid w:val="00C856C0"/>
    <w:rsid w:val="00C96154"/>
    <w:rsid w:val="00CA4790"/>
    <w:rsid w:val="00CB2E13"/>
    <w:rsid w:val="00CC27D4"/>
    <w:rsid w:val="00CC27F0"/>
    <w:rsid w:val="00CC4D5D"/>
    <w:rsid w:val="00CC7B93"/>
    <w:rsid w:val="00CD06FF"/>
    <w:rsid w:val="00CF25F1"/>
    <w:rsid w:val="00CF36E0"/>
    <w:rsid w:val="00CF6FE1"/>
    <w:rsid w:val="00CF79A4"/>
    <w:rsid w:val="00D03847"/>
    <w:rsid w:val="00D23A0B"/>
    <w:rsid w:val="00D27923"/>
    <w:rsid w:val="00D33314"/>
    <w:rsid w:val="00D36E5F"/>
    <w:rsid w:val="00D522C9"/>
    <w:rsid w:val="00D54C38"/>
    <w:rsid w:val="00D72C19"/>
    <w:rsid w:val="00D740B9"/>
    <w:rsid w:val="00D74C60"/>
    <w:rsid w:val="00D872DF"/>
    <w:rsid w:val="00D87C15"/>
    <w:rsid w:val="00D91229"/>
    <w:rsid w:val="00D91862"/>
    <w:rsid w:val="00DA0E3A"/>
    <w:rsid w:val="00DA6EC3"/>
    <w:rsid w:val="00DB05AC"/>
    <w:rsid w:val="00DB3E94"/>
    <w:rsid w:val="00DB44B1"/>
    <w:rsid w:val="00DB58BB"/>
    <w:rsid w:val="00DB7A39"/>
    <w:rsid w:val="00DC1151"/>
    <w:rsid w:val="00DC42CB"/>
    <w:rsid w:val="00DD4E41"/>
    <w:rsid w:val="00DD542D"/>
    <w:rsid w:val="00E01BCE"/>
    <w:rsid w:val="00E0514B"/>
    <w:rsid w:val="00E06488"/>
    <w:rsid w:val="00E50F55"/>
    <w:rsid w:val="00E55A8C"/>
    <w:rsid w:val="00E615F3"/>
    <w:rsid w:val="00E70B94"/>
    <w:rsid w:val="00E739D3"/>
    <w:rsid w:val="00E80D72"/>
    <w:rsid w:val="00E84233"/>
    <w:rsid w:val="00E84411"/>
    <w:rsid w:val="00E926EB"/>
    <w:rsid w:val="00E94B02"/>
    <w:rsid w:val="00EA1E21"/>
    <w:rsid w:val="00EA51C8"/>
    <w:rsid w:val="00EA7935"/>
    <w:rsid w:val="00EB3320"/>
    <w:rsid w:val="00EC1543"/>
    <w:rsid w:val="00EC65A8"/>
    <w:rsid w:val="00ED0BB6"/>
    <w:rsid w:val="00ED6494"/>
    <w:rsid w:val="00EE6743"/>
    <w:rsid w:val="00EF26BB"/>
    <w:rsid w:val="00EF2EA1"/>
    <w:rsid w:val="00EF4CC2"/>
    <w:rsid w:val="00F033E0"/>
    <w:rsid w:val="00F0437B"/>
    <w:rsid w:val="00F128BE"/>
    <w:rsid w:val="00F151FB"/>
    <w:rsid w:val="00F17050"/>
    <w:rsid w:val="00F323B1"/>
    <w:rsid w:val="00F377B8"/>
    <w:rsid w:val="00F767B3"/>
    <w:rsid w:val="00F82BB9"/>
    <w:rsid w:val="00F94377"/>
    <w:rsid w:val="00FA2B2E"/>
    <w:rsid w:val="00FA3196"/>
    <w:rsid w:val="00FA54B1"/>
    <w:rsid w:val="00FB51B9"/>
    <w:rsid w:val="00FB539D"/>
    <w:rsid w:val="00FC4DC3"/>
    <w:rsid w:val="00FC6A71"/>
    <w:rsid w:val="00FD07B5"/>
    <w:rsid w:val="00FD2306"/>
    <w:rsid w:val="00FD2DC7"/>
    <w:rsid w:val="00FF0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0EDC"/>
  <w15:chartTrackingRefBased/>
  <w15:docId w15:val="{91FA6A38-ED71-4384-99E5-5F5F0813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3D5"/>
    <w:pPr>
      <w:ind w:left="720"/>
      <w:contextualSpacing/>
    </w:pPr>
  </w:style>
  <w:style w:type="paragraph" w:styleId="FootnoteText">
    <w:name w:val="footnote text"/>
    <w:basedOn w:val="Normal"/>
    <w:link w:val="FootnoteTextChar"/>
    <w:uiPriority w:val="99"/>
    <w:semiHidden/>
    <w:unhideWhenUsed/>
    <w:rsid w:val="009263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63D5"/>
    <w:rPr>
      <w:sz w:val="20"/>
      <w:szCs w:val="20"/>
    </w:rPr>
  </w:style>
  <w:style w:type="character" w:styleId="FootnoteReference">
    <w:name w:val="footnote reference"/>
    <w:basedOn w:val="DefaultParagraphFont"/>
    <w:uiPriority w:val="99"/>
    <w:semiHidden/>
    <w:unhideWhenUsed/>
    <w:rsid w:val="009263D5"/>
    <w:rPr>
      <w:vertAlign w:val="superscript"/>
    </w:rPr>
  </w:style>
  <w:style w:type="character" w:styleId="CommentReference">
    <w:name w:val="annotation reference"/>
    <w:basedOn w:val="DefaultParagraphFont"/>
    <w:uiPriority w:val="99"/>
    <w:semiHidden/>
    <w:unhideWhenUsed/>
    <w:rsid w:val="009263D5"/>
    <w:rPr>
      <w:sz w:val="16"/>
      <w:szCs w:val="16"/>
    </w:rPr>
  </w:style>
  <w:style w:type="paragraph" w:styleId="CommentText">
    <w:name w:val="annotation text"/>
    <w:basedOn w:val="Normal"/>
    <w:link w:val="CommentTextChar"/>
    <w:uiPriority w:val="99"/>
    <w:unhideWhenUsed/>
    <w:rsid w:val="009263D5"/>
    <w:pPr>
      <w:spacing w:line="240" w:lineRule="auto"/>
    </w:pPr>
    <w:rPr>
      <w:sz w:val="20"/>
      <w:szCs w:val="20"/>
    </w:rPr>
  </w:style>
  <w:style w:type="character" w:customStyle="1" w:styleId="CommentTextChar">
    <w:name w:val="Comment Text Char"/>
    <w:basedOn w:val="DefaultParagraphFont"/>
    <w:link w:val="CommentText"/>
    <w:uiPriority w:val="99"/>
    <w:rsid w:val="009263D5"/>
    <w:rPr>
      <w:sz w:val="20"/>
      <w:szCs w:val="20"/>
    </w:rPr>
  </w:style>
  <w:style w:type="paragraph" w:styleId="CommentSubject">
    <w:name w:val="annotation subject"/>
    <w:basedOn w:val="CommentText"/>
    <w:next w:val="CommentText"/>
    <w:link w:val="CommentSubjectChar"/>
    <w:uiPriority w:val="99"/>
    <w:semiHidden/>
    <w:unhideWhenUsed/>
    <w:rsid w:val="009263D5"/>
    <w:rPr>
      <w:b/>
      <w:bCs/>
    </w:rPr>
  </w:style>
  <w:style w:type="character" w:customStyle="1" w:styleId="CommentSubjectChar">
    <w:name w:val="Comment Subject Char"/>
    <w:basedOn w:val="CommentTextChar"/>
    <w:link w:val="CommentSubject"/>
    <w:uiPriority w:val="99"/>
    <w:semiHidden/>
    <w:rsid w:val="009263D5"/>
    <w:rPr>
      <w:b/>
      <w:bCs/>
      <w:sz w:val="20"/>
      <w:szCs w:val="20"/>
    </w:rPr>
  </w:style>
  <w:style w:type="character" w:styleId="Hyperlink">
    <w:name w:val="Hyperlink"/>
    <w:basedOn w:val="DefaultParagraphFont"/>
    <w:uiPriority w:val="99"/>
    <w:unhideWhenUsed/>
    <w:rsid w:val="00243740"/>
    <w:rPr>
      <w:color w:val="0563C1" w:themeColor="hyperlink"/>
      <w:u w:val="single"/>
    </w:rPr>
  </w:style>
  <w:style w:type="character" w:styleId="UnresolvedMention">
    <w:name w:val="Unresolved Mention"/>
    <w:basedOn w:val="DefaultParagraphFont"/>
    <w:uiPriority w:val="99"/>
    <w:semiHidden/>
    <w:unhideWhenUsed/>
    <w:rsid w:val="00243740"/>
    <w:rPr>
      <w:color w:val="605E5C"/>
      <w:shd w:val="clear" w:color="auto" w:fill="E1DFDD"/>
    </w:rPr>
  </w:style>
  <w:style w:type="paragraph" w:styleId="Revision">
    <w:name w:val="Revision"/>
    <w:hidden/>
    <w:uiPriority w:val="99"/>
    <w:semiHidden/>
    <w:rsid w:val="00243740"/>
    <w:pPr>
      <w:spacing w:after="0" w:line="240" w:lineRule="auto"/>
    </w:pPr>
  </w:style>
  <w:style w:type="character" w:customStyle="1" w:styleId="xelementtoproof">
    <w:name w:val="x_elementtoproof"/>
    <w:basedOn w:val="DefaultParagraphFont"/>
    <w:rsid w:val="005376B9"/>
  </w:style>
  <w:style w:type="character" w:customStyle="1" w:styleId="normaltextrun">
    <w:name w:val="normaltextrun"/>
    <w:basedOn w:val="DefaultParagraphFont"/>
    <w:rsid w:val="00EE6743"/>
  </w:style>
  <w:style w:type="paragraph" w:customStyle="1" w:styleId="Default">
    <w:name w:val="Default"/>
    <w:rsid w:val="00AB79FA"/>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8D34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4">
    <w:name w:val="A4"/>
    <w:uiPriority w:val="99"/>
    <w:rsid w:val="00D72C19"/>
    <w:rPr>
      <w:rFonts w:cs="Gotham Book"/>
      <w:color w:val="000000"/>
      <w:sz w:val="18"/>
      <w:szCs w:val="18"/>
    </w:rPr>
  </w:style>
  <w:style w:type="paragraph" w:styleId="Header">
    <w:name w:val="header"/>
    <w:basedOn w:val="Normal"/>
    <w:link w:val="HeaderChar"/>
    <w:uiPriority w:val="99"/>
    <w:semiHidden/>
    <w:unhideWhenUsed/>
    <w:rsid w:val="00445B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5B24"/>
  </w:style>
  <w:style w:type="paragraph" w:styleId="Footer">
    <w:name w:val="footer"/>
    <w:basedOn w:val="Normal"/>
    <w:link w:val="FooterChar"/>
    <w:uiPriority w:val="99"/>
    <w:semiHidden/>
    <w:unhideWhenUsed/>
    <w:rsid w:val="00445B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5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07124">
      <w:bodyDiv w:val="1"/>
      <w:marLeft w:val="0"/>
      <w:marRight w:val="0"/>
      <w:marTop w:val="0"/>
      <w:marBottom w:val="0"/>
      <w:divBdr>
        <w:top w:val="none" w:sz="0" w:space="0" w:color="auto"/>
        <w:left w:val="none" w:sz="0" w:space="0" w:color="auto"/>
        <w:bottom w:val="none" w:sz="0" w:space="0" w:color="auto"/>
        <w:right w:val="none" w:sz="0" w:space="0" w:color="auto"/>
      </w:divBdr>
    </w:div>
    <w:div w:id="246161569">
      <w:bodyDiv w:val="1"/>
      <w:marLeft w:val="0"/>
      <w:marRight w:val="0"/>
      <w:marTop w:val="0"/>
      <w:marBottom w:val="0"/>
      <w:divBdr>
        <w:top w:val="none" w:sz="0" w:space="0" w:color="auto"/>
        <w:left w:val="none" w:sz="0" w:space="0" w:color="auto"/>
        <w:bottom w:val="none" w:sz="0" w:space="0" w:color="auto"/>
        <w:right w:val="none" w:sz="0" w:space="0" w:color="auto"/>
      </w:divBdr>
    </w:div>
    <w:div w:id="426775440">
      <w:bodyDiv w:val="1"/>
      <w:marLeft w:val="0"/>
      <w:marRight w:val="0"/>
      <w:marTop w:val="0"/>
      <w:marBottom w:val="0"/>
      <w:divBdr>
        <w:top w:val="none" w:sz="0" w:space="0" w:color="auto"/>
        <w:left w:val="none" w:sz="0" w:space="0" w:color="auto"/>
        <w:bottom w:val="none" w:sz="0" w:space="0" w:color="auto"/>
        <w:right w:val="none" w:sz="0" w:space="0" w:color="auto"/>
      </w:divBdr>
    </w:div>
    <w:div w:id="462893353">
      <w:bodyDiv w:val="1"/>
      <w:marLeft w:val="0"/>
      <w:marRight w:val="0"/>
      <w:marTop w:val="0"/>
      <w:marBottom w:val="0"/>
      <w:divBdr>
        <w:top w:val="none" w:sz="0" w:space="0" w:color="auto"/>
        <w:left w:val="none" w:sz="0" w:space="0" w:color="auto"/>
        <w:bottom w:val="none" w:sz="0" w:space="0" w:color="auto"/>
        <w:right w:val="none" w:sz="0" w:space="0" w:color="auto"/>
      </w:divBdr>
    </w:div>
    <w:div w:id="611059647">
      <w:bodyDiv w:val="1"/>
      <w:marLeft w:val="0"/>
      <w:marRight w:val="0"/>
      <w:marTop w:val="0"/>
      <w:marBottom w:val="0"/>
      <w:divBdr>
        <w:top w:val="none" w:sz="0" w:space="0" w:color="auto"/>
        <w:left w:val="none" w:sz="0" w:space="0" w:color="auto"/>
        <w:bottom w:val="none" w:sz="0" w:space="0" w:color="auto"/>
        <w:right w:val="none" w:sz="0" w:space="0" w:color="auto"/>
      </w:divBdr>
    </w:div>
    <w:div w:id="656422877">
      <w:bodyDiv w:val="1"/>
      <w:marLeft w:val="0"/>
      <w:marRight w:val="0"/>
      <w:marTop w:val="0"/>
      <w:marBottom w:val="0"/>
      <w:divBdr>
        <w:top w:val="none" w:sz="0" w:space="0" w:color="auto"/>
        <w:left w:val="none" w:sz="0" w:space="0" w:color="auto"/>
        <w:bottom w:val="none" w:sz="0" w:space="0" w:color="auto"/>
        <w:right w:val="none" w:sz="0" w:space="0" w:color="auto"/>
      </w:divBdr>
    </w:div>
    <w:div w:id="752314674">
      <w:bodyDiv w:val="1"/>
      <w:marLeft w:val="0"/>
      <w:marRight w:val="0"/>
      <w:marTop w:val="0"/>
      <w:marBottom w:val="0"/>
      <w:divBdr>
        <w:top w:val="none" w:sz="0" w:space="0" w:color="auto"/>
        <w:left w:val="none" w:sz="0" w:space="0" w:color="auto"/>
        <w:bottom w:val="none" w:sz="0" w:space="0" w:color="auto"/>
        <w:right w:val="none" w:sz="0" w:space="0" w:color="auto"/>
      </w:divBdr>
    </w:div>
    <w:div w:id="1421291092">
      <w:bodyDiv w:val="1"/>
      <w:marLeft w:val="0"/>
      <w:marRight w:val="0"/>
      <w:marTop w:val="0"/>
      <w:marBottom w:val="0"/>
      <w:divBdr>
        <w:top w:val="none" w:sz="0" w:space="0" w:color="auto"/>
        <w:left w:val="none" w:sz="0" w:space="0" w:color="auto"/>
        <w:bottom w:val="none" w:sz="0" w:space="0" w:color="auto"/>
        <w:right w:val="none" w:sz="0" w:space="0" w:color="auto"/>
      </w:divBdr>
      <w:divsChild>
        <w:div w:id="1883713128">
          <w:blockQuote w:val="1"/>
          <w:marLeft w:val="150"/>
          <w:marRight w:val="150"/>
          <w:marTop w:val="0"/>
          <w:marBottom w:val="0"/>
          <w:divBdr>
            <w:top w:val="none" w:sz="0" w:space="0" w:color="auto"/>
            <w:left w:val="none" w:sz="0" w:space="0" w:color="auto"/>
            <w:bottom w:val="none" w:sz="0" w:space="0" w:color="auto"/>
            <w:right w:val="none" w:sz="0" w:space="0" w:color="auto"/>
          </w:divBdr>
          <w:divsChild>
            <w:div w:id="343288901">
              <w:marLeft w:val="0"/>
              <w:marRight w:val="0"/>
              <w:marTop w:val="0"/>
              <w:marBottom w:val="0"/>
              <w:divBdr>
                <w:top w:val="none" w:sz="0" w:space="0" w:color="auto"/>
                <w:left w:val="none" w:sz="0" w:space="0" w:color="auto"/>
                <w:bottom w:val="none" w:sz="0" w:space="0" w:color="auto"/>
                <w:right w:val="none" w:sz="0" w:space="0" w:color="auto"/>
              </w:divBdr>
              <w:divsChild>
                <w:div w:id="10477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yaghoubi@ef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collins@G2Gconsult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weidner@ef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16/j.jpeds.2018.07.055" TargetMode="External"/><Relationship Id="rId2" Type="http://schemas.openxmlformats.org/officeDocument/2006/relationships/hyperlink" Target="https://www.childhealthdata.org/browse/survey/results?q=10071&amp;r=1" TargetMode="External"/><Relationship Id="rId1" Type="http://schemas.openxmlformats.org/officeDocument/2006/relationships/hyperlink" Target="https://doi.org/10.1016/j.yebeh.2024.109852" TargetMode="External"/><Relationship Id="rId6" Type="http://schemas.openxmlformats.org/officeDocument/2006/relationships/hyperlink" Target="https://doi.org/10.1212/wnl.0000000000005762" TargetMode="External"/><Relationship Id="rId5" Type="http://schemas.openxmlformats.org/officeDocument/2006/relationships/hyperlink" Target="https://doi.org/10.1111/epi.12666" TargetMode="External"/><Relationship Id="rId4" Type="http://schemas.openxmlformats.org/officeDocument/2006/relationships/hyperlink" Target="https://doi.org/10.1212/WNL.0000000000002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dvocacyDocument" ma:contentTypeID="0x01010089DA4465D0FA024D9642DC786B6C5C3400D2BB6064DD3CBA48B4D9633B82782386" ma:contentTypeVersion="21" ma:contentTypeDescription="" ma:contentTypeScope="" ma:versionID="2b9dec85f94065c06a479a7e4e602c03">
  <xsd:schema xmlns:xsd="http://www.w3.org/2001/XMLSchema" xmlns:xs="http://www.w3.org/2001/XMLSchema" xmlns:p="http://schemas.microsoft.com/office/2006/metadata/properties" xmlns:ns1="http://schemas.microsoft.com/sharepoint/v3" xmlns:ns2="451150eb-6c42-42fd-8d8d-829802d2336d" xmlns:ns3="fe24a19d-97b4-4b2f-b177-ce434a0c38e1" xmlns:ns4="f968ca24-49db-4324-b384-bc699028717b" targetNamespace="http://schemas.microsoft.com/office/2006/metadata/properties" ma:root="true" ma:fieldsID="92fcc60cba399e380b8e3c34ca12f9f7" ns1:_="" ns2:_="" ns3:_="" ns4:_="">
    <xsd:import namespace="http://schemas.microsoft.com/sharepoint/v3"/>
    <xsd:import namespace="451150eb-6c42-42fd-8d8d-829802d2336d"/>
    <xsd:import namespace="fe24a19d-97b4-4b2f-b177-ce434a0c38e1"/>
    <xsd:import namespace="f968ca24-49db-4324-b384-bc699028717b"/>
    <xsd:element name="properties">
      <xsd:complexType>
        <xsd:sequence>
          <xsd:element name="documentManagement">
            <xsd:complexType>
              <xsd:all>
                <xsd:element ref="ns2:Admin" minOccurs="0"/>
                <xsd:element ref="ns2:Corporate" minOccurs="0"/>
                <xsd:element ref="ns2:Date1" minOccurs="0"/>
                <xsd:element ref="ns2:FileType1" minOccurs="0"/>
                <xsd:element ref="ns2:Government" minOccurs="0"/>
                <xsd:element ref="ns2:Issue" minOccurs="0"/>
                <xsd:element ref="ns2:State" minOccurs="0"/>
                <xsd:element ref="ns2:Partner" minOccurs="0"/>
                <xsd:element ref="ns1:ol_Department"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16"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1150eb-6c42-42fd-8d8d-829802d2336d" elementFormDefault="qualified">
    <xsd:import namespace="http://schemas.microsoft.com/office/2006/documentManagement/types"/>
    <xsd:import namespace="http://schemas.microsoft.com/office/infopath/2007/PartnerControls"/>
    <xsd:element name="Admin" ma:index="8" nillable="true" ma:displayName="Admin" ma:internalName="Admin">
      <xsd:simpleType>
        <xsd:restriction base="dms:Text">
          <xsd:maxLength value="255"/>
        </xsd:restriction>
      </xsd:simpleType>
    </xsd:element>
    <xsd:element name="Corporate" ma:index="9" nillable="true" ma:displayName="Corporate" ma:internalName="Corporate">
      <xsd:simpleType>
        <xsd:restriction base="dms:Text">
          <xsd:maxLength value="255"/>
        </xsd:restriction>
      </xsd:simpleType>
    </xsd:element>
    <xsd:element name="Date1" ma:index="10" nillable="true" ma:displayName="Date" ma:internalName="Date1">
      <xsd:simpleType>
        <xsd:restriction base="dms:Text">
          <xsd:maxLength value="255"/>
        </xsd:restriction>
      </xsd:simpleType>
    </xsd:element>
    <xsd:element name="FileType1" ma:index="11" nillable="true" ma:displayName="FileType" ma:internalName="FileType1">
      <xsd:simpleType>
        <xsd:restriction base="dms:Text">
          <xsd:maxLength value="255"/>
        </xsd:restriction>
      </xsd:simpleType>
    </xsd:element>
    <xsd:element name="Government" ma:index="12" nillable="true" ma:displayName="Government" ma:internalName="Government">
      <xsd:simpleType>
        <xsd:restriction base="dms:Text">
          <xsd:maxLength value="255"/>
        </xsd:restriction>
      </xsd:simpleType>
    </xsd:element>
    <xsd:element name="Issue" ma:index="13" nillable="true" ma:displayName="Issue" ma:internalName="Issue">
      <xsd:simpleType>
        <xsd:restriction base="dms:Text">
          <xsd:maxLength value="255"/>
        </xsd:restriction>
      </xsd:simpleType>
    </xsd:element>
    <xsd:element name="State" ma:index="14" nillable="true" ma:displayName="State" ma:internalName="State">
      <xsd:simpleType>
        <xsd:restriction base="dms:Text">
          <xsd:maxLength value="255"/>
        </xsd:restriction>
      </xsd:simpleType>
    </xsd:element>
    <xsd:element name="Partner" ma:index="15" nillable="true" ma:displayName="Partner" ma:internalName="Partner">
      <xsd:simpleType>
        <xsd:restriction base="dms:Text">
          <xsd:maxLength value="255"/>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24a19d-97b4-4b2f-b177-ce434a0c38e1"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ba09ab8-fb55-40fc-b6d5-f9d7fd68b48b"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68ca24-49db-4324-b384-bc699028717b"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f5e81264-a46b-4196-bbad-6dbe24cfa80a}" ma:internalName="TaxCatchAll" ma:showField="CatchAllData" ma:web="451150eb-6c42-42fd-8d8d-829802d23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24a19d-97b4-4b2f-b177-ce434a0c38e1">
      <Terms xmlns="http://schemas.microsoft.com/office/infopath/2007/PartnerControls"/>
    </lcf76f155ced4ddcb4097134ff3c332f>
    <TaxCatchAll xmlns="f968ca24-49db-4324-b384-bc699028717b" xsi:nil="true"/>
    <FileType1 xmlns="451150eb-6c42-42fd-8d8d-829802d2336d" xsi:nil="true"/>
    <Issue xmlns="451150eb-6c42-42fd-8d8d-829802d2336d" xsi:nil="true"/>
    <State xmlns="451150eb-6c42-42fd-8d8d-829802d2336d" xsi:nil="true"/>
    <Date1 xmlns="451150eb-6c42-42fd-8d8d-829802d2336d" xsi:nil="true"/>
    <Admin xmlns="451150eb-6c42-42fd-8d8d-829802d2336d" xsi:nil="true"/>
    <Partner xmlns="451150eb-6c42-42fd-8d8d-829802d2336d" xsi:nil="true"/>
    <Corporate xmlns="451150eb-6c42-42fd-8d8d-829802d2336d" xsi:nil="true"/>
    <ol_Department xmlns="http://schemas.microsoft.com/sharepoint/v3" xsi:nil="true"/>
    <Government xmlns="451150eb-6c42-42fd-8d8d-829802d2336d" xsi:nil="true"/>
  </documentManagement>
</p:properties>
</file>

<file path=customXml/itemProps1.xml><?xml version="1.0" encoding="utf-8"?>
<ds:datastoreItem xmlns:ds="http://schemas.openxmlformats.org/officeDocument/2006/customXml" ds:itemID="{53F6A25A-89E2-4D6F-B22C-75CC83C86A70}">
  <ds:schemaRefs>
    <ds:schemaRef ds:uri="http://schemas.microsoft.com/sharepoint/v3/contenttype/forms"/>
  </ds:schemaRefs>
</ds:datastoreItem>
</file>

<file path=customXml/itemProps2.xml><?xml version="1.0" encoding="utf-8"?>
<ds:datastoreItem xmlns:ds="http://schemas.openxmlformats.org/officeDocument/2006/customXml" ds:itemID="{842E1DB4-6C5E-45B1-888B-7E1CEA146843}">
  <ds:schemaRefs>
    <ds:schemaRef ds:uri="http://schemas.openxmlformats.org/officeDocument/2006/bibliography"/>
  </ds:schemaRefs>
</ds:datastoreItem>
</file>

<file path=customXml/itemProps3.xml><?xml version="1.0" encoding="utf-8"?>
<ds:datastoreItem xmlns:ds="http://schemas.openxmlformats.org/officeDocument/2006/customXml" ds:itemID="{7ACBB0F6-C03A-473D-956A-1D9FCFED4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1150eb-6c42-42fd-8d8d-829802d2336d"/>
    <ds:schemaRef ds:uri="fe24a19d-97b4-4b2f-b177-ce434a0c38e1"/>
    <ds:schemaRef ds:uri="f968ca24-49db-4324-b384-bc6990287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FE3836-E40E-4BA0-850B-E8363A47A3A4}">
  <ds:schemaRefs>
    <ds:schemaRef ds:uri="http://schemas.microsoft.com/office/2006/metadata/properties"/>
    <ds:schemaRef ds:uri="http://schemas.microsoft.com/office/infopath/2007/PartnerControls"/>
    <ds:schemaRef ds:uri="fe24a19d-97b4-4b2f-b177-ce434a0c38e1"/>
    <ds:schemaRef ds:uri="f968ca24-49db-4324-b384-bc699028717b"/>
    <ds:schemaRef ds:uri="451150eb-6c42-42fd-8d8d-829802d2336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Weidner, Laura</dc:creator>
  <cp:keywords/>
  <dc:description/>
  <cp:lastModifiedBy>Yaghoubi, Roxanne</cp:lastModifiedBy>
  <cp:revision>2</cp:revision>
  <cp:lastPrinted>2023-05-16T19:43:00Z</cp:lastPrinted>
  <dcterms:created xsi:type="dcterms:W3CDTF">2025-08-08T01:32:00Z</dcterms:created>
  <dcterms:modified xsi:type="dcterms:W3CDTF">2025-08-08T01:32:00Z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0x01010089DA4465D0FA024D9642DC786B6C5C3400D2BB6064DD3CBA48B4D9633B82782386</vt:lpwstr>
  </property>
</Properties>
</file>